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6142" w14:textId="77777777" w:rsidR="00AD7357" w:rsidRPr="00595322" w:rsidRDefault="00AD7357" w:rsidP="00317F4D">
      <w:pPr>
        <w:spacing w:before="60" w:after="60" w:line="288" w:lineRule="auto"/>
        <w:contextualSpacing/>
        <w:jc w:val="both"/>
        <w:rPr>
          <w:rFonts w:ascii="Arial Narrow" w:hAnsi="Arial Narrow" w:cs="Sylfaen"/>
          <w:highlight w:val="yellow"/>
        </w:rPr>
      </w:pPr>
    </w:p>
    <w:tbl>
      <w:tblPr>
        <w:tblW w:w="10427" w:type="dxa"/>
        <w:tblInd w:w="108"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4A0" w:firstRow="1" w:lastRow="0" w:firstColumn="1" w:lastColumn="0" w:noHBand="0" w:noVBand="1"/>
      </w:tblPr>
      <w:tblGrid>
        <w:gridCol w:w="10427"/>
      </w:tblGrid>
      <w:tr w:rsidR="00942CE9" w:rsidRPr="00595322" w14:paraId="7DC69B0C" w14:textId="77777777" w:rsidTr="00AB06FC">
        <w:tc>
          <w:tcPr>
            <w:tcW w:w="10427" w:type="dxa"/>
            <w:tcMar>
              <w:left w:w="0" w:type="dxa"/>
              <w:right w:w="0" w:type="dxa"/>
            </w:tcMar>
          </w:tcPr>
          <w:p w14:paraId="60B3CDBC" w14:textId="7E2C782C" w:rsidR="00942CE9" w:rsidRPr="00284292" w:rsidRDefault="00081043" w:rsidP="00317F4D">
            <w:pPr>
              <w:spacing w:before="60" w:after="60" w:line="288" w:lineRule="auto"/>
              <w:jc w:val="center"/>
              <w:rPr>
                <w:rFonts w:ascii="Arial" w:hAnsi="Arial" w:cs="Arial"/>
                <w:b/>
                <w:lang w:val="ca-ES"/>
              </w:rPr>
            </w:pPr>
            <w:r w:rsidRPr="00284292">
              <w:rPr>
                <w:rFonts w:ascii="Arial" w:hAnsi="Arial" w:cs="Arial"/>
                <w:b/>
                <w:lang w:val="ca-ES"/>
              </w:rPr>
              <w:t>Essential Terms</w:t>
            </w:r>
            <w:r w:rsidR="00317F4D" w:rsidRPr="00284292">
              <w:rPr>
                <w:rFonts w:ascii="Arial" w:hAnsi="Arial" w:cs="Arial"/>
                <w:b/>
                <w:lang w:val="ca-ES"/>
              </w:rPr>
              <w:t xml:space="preserve"> and Conditions</w:t>
            </w:r>
            <w:r w:rsidRPr="00284292">
              <w:rPr>
                <w:rFonts w:ascii="Arial" w:hAnsi="Arial" w:cs="Arial"/>
                <w:b/>
                <w:lang w:val="ca-ES"/>
              </w:rPr>
              <w:t xml:space="preserve"> of Agreement</w:t>
            </w:r>
          </w:p>
          <w:p w14:paraId="609EDDA6" w14:textId="2132EEB9" w:rsidR="00317F4D" w:rsidRPr="00284292" w:rsidRDefault="007A2C37" w:rsidP="00317F4D">
            <w:pPr>
              <w:pStyle w:val="Header"/>
              <w:spacing w:before="60" w:after="60" w:line="288" w:lineRule="auto"/>
              <w:jc w:val="center"/>
              <w:rPr>
                <w:rFonts w:ascii="Arial" w:hAnsi="Arial" w:cs="Arial"/>
                <w:b/>
              </w:rPr>
            </w:pPr>
            <w:r w:rsidRPr="00284292">
              <w:rPr>
                <w:rFonts w:ascii="Arial" w:hAnsi="Arial" w:cs="Arial"/>
                <w:b/>
              </w:rPr>
              <w:t>Child</w:t>
            </w:r>
            <w:r w:rsidR="005D7D56" w:rsidRPr="00284292">
              <w:rPr>
                <w:rFonts w:ascii="Arial" w:hAnsi="Arial" w:cs="Arial"/>
                <w:b/>
                <w:lang w:val="en-GB"/>
              </w:rPr>
              <w:t xml:space="preserve"> Deposit </w:t>
            </w:r>
            <w:r w:rsidR="00317F4D" w:rsidRPr="00284292">
              <w:rPr>
                <w:rFonts w:ascii="Arial" w:hAnsi="Arial" w:cs="Arial"/>
                <w:b/>
              </w:rPr>
              <w:t>Agreement No ____</w:t>
            </w:r>
          </w:p>
          <w:p w14:paraId="0016AE11" w14:textId="04149DDE" w:rsidR="00317F4D" w:rsidRPr="00284292" w:rsidRDefault="00317F4D" w:rsidP="00F961E5">
            <w:pPr>
              <w:pStyle w:val="Header"/>
              <w:spacing w:before="60" w:after="60" w:line="288" w:lineRule="auto"/>
              <w:ind w:left="101"/>
              <w:jc w:val="both"/>
              <w:rPr>
                <w:rFonts w:ascii="Arial" w:hAnsi="Arial" w:cs="Arial"/>
                <w:b/>
                <w:lang w:val="ca-ES"/>
              </w:rPr>
            </w:pPr>
            <w:r w:rsidRPr="00284292">
              <w:rPr>
                <w:rFonts w:ascii="Arial" w:hAnsi="Arial" w:cs="Arial"/>
                <w:b/>
                <w:lang w:val="ca-ES"/>
              </w:rPr>
              <w:t>The city of ___                                                                                                                                                    __ __ 20__</w:t>
            </w:r>
          </w:p>
          <w:p w14:paraId="2599FCA2" w14:textId="77777777" w:rsidR="000E2FB1" w:rsidRPr="00284292" w:rsidRDefault="000E2FB1" w:rsidP="00F961E5">
            <w:pPr>
              <w:pStyle w:val="Header"/>
              <w:spacing w:before="60" w:after="60" w:line="288" w:lineRule="auto"/>
              <w:ind w:left="101"/>
              <w:jc w:val="both"/>
              <w:rPr>
                <w:rFonts w:ascii="Arial" w:hAnsi="Arial" w:cs="Arial"/>
                <w:b/>
                <w:sz w:val="20"/>
                <w:szCs w:val="20"/>
                <w:lang w:val="ca-ES"/>
              </w:rPr>
            </w:pPr>
          </w:p>
          <w:p w14:paraId="3CD5AF82" w14:textId="6AADB8DE" w:rsidR="00F961E5" w:rsidRPr="00284292" w:rsidRDefault="00F961E5" w:rsidP="00F961E5">
            <w:pPr>
              <w:pStyle w:val="Header"/>
              <w:spacing w:before="60" w:after="60" w:line="288" w:lineRule="auto"/>
              <w:ind w:left="101"/>
              <w:jc w:val="both"/>
              <w:rPr>
                <w:rFonts w:ascii="Arial" w:hAnsi="Arial" w:cs="Arial"/>
                <w:b/>
                <w:sz w:val="20"/>
                <w:szCs w:val="20"/>
                <w:lang w:val="ca-ES"/>
              </w:rPr>
            </w:pPr>
            <w:r w:rsidRPr="00284292">
              <w:rPr>
                <w:rFonts w:ascii="Arial" w:hAnsi="Arial" w:cs="Arial"/>
                <w:b/>
                <w:sz w:val="20"/>
                <w:szCs w:val="20"/>
                <w:lang w:val="ca-ES"/>
              </w:rPr>
              <w:t>Deposit interest rate</w:t>
            </w:r>
          </w:p>
          <w:p w14:paraId="7627A92D" w14:textId="5F696534" w:rsidR="00F961E5" w:rsidRPr="00284292" w:rsidRDefault="00F961E5" w:rsidP="00F961E5">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 xml:space="preserve">Type of deposit interest rate: </w:t>
            </w:r>
            <w:r w:rsidR="003A5E2F" w:rsidRPr="00284292">
              <w:rPr>
                <w:rFonts w:ascii="Arial" w:hAnsi="Arial" w:cs="Arial"/>
                <w:bCs/>
                <w:sz w:val="20"/>
                <w:szCs w:val="20"/>
                <w:lang w:val="ca-ES"/>
              </w:rPr>
              <w:t>V</w:t>
            </w:r>
            <w:r w:rsidRPr="00284292">
              <w:rPr>
                <w:rFonts w:ascii="Arial" w:hAnsi="Arial" w:cs="Arial"/>
                <w:bCs/>
                <w:sz w:val="20"/>
                <w:szCs w:val="20"/>
                <w:lang w:val="ca-ES"/>
              </w:rPr>
              <w:t>ariable</w:t>
            </w:r>
          </w:p>
          <w:p w14:paraId="2E14EFC1" w14:textId="77777777" w:rsidR="00F961E5" w:rsidRPr="00284292" w:rsidRDefault="00F961E5" w:rsidP="00F961E5">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Annual deposit interest rate: ___%</w:t>
            </w:r>
          </w:p>
          <w:p w14:paraId="19DB5BD9" w14:textId="77777777" w:rsidR="00F961E5" w:rsidRPr="00284292" w:rsidRDefault="00F961E5" w:rsidP="00F961E5">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Effective deposit interest rate: ___%</w:t>
            </w:r>
          </w:p>
          <w:p w14:paraId="25F901BA" w14:textId="6DCD31F9" w:rsidR="00317F4D" w:rsidRPr="00284292" w:rsidRDefault="00F961E5" w:rsidP="00F961E5">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 xml:space="preserve">Assumptions used to calculate the </w:t>
            </w:r>
            <w:r w:rsidR="004611AF" w:rsidRPr="00284292">
              <w:rPr>
                <w:rFonts w:ascii="Arial" w:hAnsi="Arial" w:cs="Arial"/>
                <w:bCs/>
                <w:sz w:val="20"/>
                <w:szCs w:val="20"/>
                <w:lang w:val="ca-ES"/>
              </w:rPr>
              <w:t xml:space="preserve">effective </w:t>
            </w:r>
            <w:r w:rsidRPr="00284292">
              <w:rPr>
                <w:rFonts w:ascii="Arial" w:hAnsi="Arial" w:cs="Arial"/>
                <w:bCs/>
                <w:sz w:val="20"/>
                <w:szCs w:val="20"/>
                <w:lang w:val="ca-ES"/>
              </w:rPr>
              <w:t xml:space="preserve">deposit interest rate: </w:t>
            </w:r>
            <w:r w:rsidR="007A2C37" w:rsidRPr="00284292">
              <w:rPr>
                <w:rFonts w:ascii="Arial" w:hAnsi="Arial" w:cs="Arial"/>
                <w:bCs/>
                <w:sz w:val="20"/>
                <w:szCs w:val="20"/>
                <w:lang w:val="ca-ES"/>
              </w:rPr>
              <w:t>Withdrawals are made at the end of the term. No inpayments are made to the deposit.</w:t>
            </w:r>
          </w:p>
          <w:p w14:paraId="661B4B06" w14:textId="77777777" w:rsidR="00F961E5" w:rsidRPr="00284292" w:rsidRDefault="00F961E5" w:rsidP="00F961E5">
            <w:pPr>
              <w:pStyle w:val="Header"/>
              <w:spacing w:before="60" w:after="60" w:line="288" w:lineRule="auto"/>
              <w:ind w:left="101"/>
              <w:jc w:val="both"/>
              <w:rPr>
                <w:rFonts w:ascii="Arial" w:hAnsi="Arial" w:cs="Arial"/>
                <w:b/>
                <w:sz w:val="20"/>
                <w:szCs w:val="20"/>
                <w:lang w:val="ca-ES"/>
              </w:rPr>
            </w:pPr>
            <w:r w:rsidRPr="00284292">
              <w:rPr>
                <w:rFonts w:ascii="Arial" w:hAnsi="Arial" w:cs="Arial"/>
                <w:b/>
                <w:sz w:val="20"/>
                <w:szCs w:val="20"/>
                <w:lang w:val="ca-ES"/>
              </w:rPr>
              <w:t>Other contractual terms</w:t>
            </w:r>
          </w:p>
          <w:p w14:paraId="0E4D7EF9" w14:textId="55A8B1F4" w:rsidR="00C41C2A" w:rsidRPr="00284292" w:rsidRDefault="00D353FA" w:rsidP="00C41C2A">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 xml:space="preserve">First </w:t>
            </w:r>
            <w:r w:rsidR="009021F3" w:rsidRPr="00284292">
              <w:rPr>
                <w:rFonts w:ascii="Arial" w:hAnsi="Arial" w:cs="Arial"/>
                <w:bCs/>
                <w:sz w:val="20"/>
                <w:szCs w:val="20"/>
                <w:lang w:val="ca-ES"/>
              </w:rPr>
              <w:t xml:space="preserve">deposit </w:t>
            </w:r>
            <w:r w:rsidRPr="00284292">
              <w:rPr>
                <w:rFonts w:ascii="Arial" w:hAnsi="Arial" w:cs="Arial"/>
                <w:bCs/>
                <w:sz w:val="20"/>
                <w:szCs w:val="20"/>
                <w:lang w:val="ca-ES"/>
              </w:rPr>
              <w:t>payment</w:t>
            </w:r>
            <w:r w:rsidR="007A2C37" w:rsidRPr="00284292">
              <w:rPr>
                <w:rFonts w:ascii="Arial" w:hAnsi="Arial" w:cs="Arial"/>
                <w:bCs/>
                <w:sz w:val="20"/>
                <w:szCs w:val="20"/>
                <w:lang w:val="ca-ES"/>
              </w:rPr>
              <w:t>: EUR/USD/GEL ___</w:t>
            </w:r>
          </w:p>
          <w:p w14:paraId="25EACBE1" w14:textId="45A0A745" w:rsidR="00416F12" w:rsidRPr="00284292" w:rsidRDefault="00416F12" w:rsidP="00416F12">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Annual interest rate in case of early termination of the Agreement: ___% for each full year, ___% for the remaining term</w:t>
            </w:r>
          </w:p>
          <w:p w14:paraId="43BFC45E" w14:textId="083F8C13" w:rsidR="00416F12" w:rsidRPr="00284292" w:rsidRDefault="00416F12" w:rsidP="00416F12">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Deposit is opened for ______ months and the closing date is __ / __ / ____.</w:t>
            </w:r>
          </w:p>
          <w:p w14:paraId="7DCBB6E5" w14:textId="77777777" w:rsidR="00C41C2A" w:rsidRPr="00284292" w:rsidRDefault="00F961E5" w:rsidP="00C41C2A">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Your deposit is insured within the Deposit Insurance System established on the basis of the Law of Georgia on the Deposit Insurance System</w:t>
            </w:r>
            <w:r w:rsidR="00C41C2A" w:rsidRPr="00284292">
              <w:rPr>
                <w:rFonts w:ascii="Arial" w:hAnsi="Arial" w:cs="Arial"/>
                <w:bCs/>
                <w:sz w:val="20"/>
                <w:szCs w:val="20"/>
                <w:lang w:val="ca-ES"/>
              </w:rPr>
              <w:t>.</w:t>
            </w:r>
          </w:p>
          <w:p w14:paraId="315A7EE8" w14:textId="25D8CEC7" w:rsidR="00D64ACE" w:rsidRPr="00284292" w:rsidRDefault="00F961E5" w:rsidP="00D64ACE">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 xml:space="preserve">The Bank reserves the right to change the deposit interest rate or other terms of the agreement </w:t>
            </w:r>
            <w:r w:rsidR="00C41C2A" w:rsidRPr="00284292">
              <w:rPr>
                <w:rFonts w:ascii="Arial" w:hAnsi="Arial" w:cs="Arial"/>
                <w:bCs/>
                <w:sz w:val="20"/>
                <w:szCs w:val="20"/>
                <w:lang w:val="ca-ES"/>
              </w:rPr>
              <w:t>repeatedly</w:t>
            </w:r>
            <w:r w:rsidRPr="00284292">
              <w:rPr>
                <w:rFonts w:ascii="Arial" w:hAnsi="Arial" w:cs="Arial"/>
                <w:bCs/>
                <w:sz w:val="20"/>
                <w:szCs w:val="20"/>
                <w:lang w:val="ca-ES"/>
              </w:rPr>
              <w:t xml:space="preserve"> </w:t>
            </w:r>
            <w:r w:rsidR="00C41C2A" w:rsidRPr="00284292">
              <w:rPr>
                <w:rFonts w:ascii="Arial" w:hAnsi="Arial" w:cs="Arial"/>
                <w:bCs/>
                <w:sz w:val="20"/>
                <w:szCs w:val="20"/>
                <w:lang w:val="ca-ES"/>
              </w:rPr>
              <w:t>and</w:t>
            </w:r>
            <w:r w:rsidRPr="00284292">
              <w:rPr>
                <w:rFonts w:ascii="Arial" w:hAnsi="Arial" w:cs="Arial"/>
                <w:bCs/>
                <w:sz w:val="20"/>
                <w:szCs w:val="20"/>
                <w:lang w:val="ca-ES"/>
              </w:rPr>
              <w:t xml:space="preserve"> unilaterally at any time during the term of the agreement if the market conditions change significantly</w:t>
            </w:r>
            <w:r w:rsidR="00D64ACE" w:rsidRPr="00284292">
              <w:rPr>
                <w:rFonts w:ascii="Arial" w:hAnsi="Arial" w:cs="Arial"/>
                <w:bCs/>
                <w:sz w:val="20"/>
                <w:szCs w:val="20"/>
                <w:lang w:val="ca-ES"/>
              </w:rPr>
              <w:t>;</w:t>
            </w:r>
            <w:r w:rsidRPr="00284292">
              <w:rPr>
                <w:rFonts w:ascii="Arial" w:hAnsi="Arial" w:cs="Arial"/>
                <w:bCs/>
                <w:sz w:val="20"/>
                <w:szCs w:val="20"/>
                <w:lang w:val="ca-ES"/>
              </w:rPr>
              <w:t xml:space="preserve"> or legislative and/or other changes are made that will worsen the </w:t>
            </w:r>
            <w:r w:rsidR="00D64ACE" w:rsidRPr="00284292">
              <w:rPr>
                <w:rFonts w:ascii="Arial" w:hAnsi="Arial" w:cs="Arial"/>
                <w:bCs/>
                <w:sz w:val="20"/>
                <w:szCs w:val="20"/>
                <w:lang w:val="ca-ES"/>
              </w:rPr>
              <w:t>B</w:t>
            </w:r>
            <w:r w:rsidRPr="00284292">
              <w:rPr>
                <w:rFonts w:ascii="Arial" w:hAnsi="Arial" w:cs="Arial"/>
                <w:bCs/>
                <w:sz w:val="20"/>
                <w:szCs w:val="20"/>
                <w:lang w:val="ca-ES"/>
              </w:rPr>
              <w:t xml:space="preserve">ank's </w:t>
            </w:r>
            <w:r w:rsidR="00C41C2A" w:rsidRPr="00284292">
              <w:rPr>
                <w:rFonts w:ascii="Arial" w:hAnsi="Arial" w:cs="Arial"/>
                <w:bCs/>
                <w:sz w:val="20"/>
                <w:szCs w:val="20"/>
                <w:lang w:val="ca-ES"/>
              </w:rPr>
              <w:t>position</w:t>
            </w:r>
            <w:r w:rsidR="00D64ACE" w:rsidRPr="00284292">
              <w:rPr>
                <w:rFonts w:ascii="Arial" w:hAnsi="Arial" w:cs="Arial"/>
                <w:bCs/>
                <w:sz w:val="20"/>
                <w:szCs w:val="20"/>
                <w:lang w:val="ca-ES"/>
              </w:rPr>
              <w:t>;</w:t>
            </w:r>
            <w:r w:rsidRPr="00284292">
              <w:rPr>
                <w:rFonts w:ascii="Arial" w:hAnsi="Arial" w:cs="Arial"/>
                <w:bCs/>
                <w:sz w:val="20"/>
                <w:szCs w:val="20"/>
                <w:lang w:val="ca-ES"/>
              </w:rPr>
              <w:t xml:space="preserve"> or </w:t>
            </w:r>
            <w:r w:rsidR="00C41C2A" w:rsidRPr="00284292">
              <w:rPr>
                <w:rFonts w:ascii="Arial" w:hAnsi="Arial" w:cs="Arial"/>
                <w:bCs/>
                <w:sz w:val="20"/>
                <w:szCs w:val="20"/>
                <w:lang w:val="ca-ES"/>
              </w:rPr>
              <w:t>the monetary policy rate change</w:t>
            </w:r>
            <w:r w:rsidR="00D64ACE" w:rsidRPr="00284292">
              <w:rPr>
                <w:rFonts w:ascii="Arial" w:hAnsi="Arial" w:cs="Arial"/>
                <w:bCs/>
                <w:sz w:val="20"/>
                <w:szCs w:val="20"/>
                <w:lang w:val="ca-ES"/>
              </w:rPr>
              <w:t>s</w:t>
            </w:r>
            <w:r w:rsidR="00C41C2A" w:rsidRPr="00284292">
              <w:rPr>
                <w:rFonts w:ascii="Arial" w:hAnsi="Arial" w:cs="Arial"/>
                <w:bCs/>
                <w:sz w:val="20"/>
                <w:szCs w:val="20"/>
                <w:lang w:val="ca-ES"/>
              </w:rPr>
              <w:t xml:space="preserve"> significantly, which will affect the deposit price</w:t>
            </w:r>
            <w:r w:rsidR="00D64ACE" w:rsidRPr="00284292">
              <w:rPr>
                <w:rFonts w:ascii="Arial" w:hAnsi="Arial" w:cs="Arial"/>
                <w:bCs/>
                <w:sz w:val="20"/>
                <w:szCs w:val="20"/>
                <w:lang w:val="ca-ES"/>
              </w:rPr>
              <w:t>;</w:t>
            </w:r>
            <w:r w:rsidR="00C41C2A" w:rsidRPr="00284292">
              <w:rPr>
                <w:rFonts w:ascii="Arial" w:hAnsi="Arial" w:cs="Arial"/>
                <w:bCs/>
                <w:sz w:val="20"/>
                <w:szCs w:val="20"/>
                <w:lang w:val="ca-ES"/>
              </w:rPr>
              <w:t xml:space="preserve"> or the deposit value change</w:t>
            </w:r>
            <w:r w:rsidR="00D64ACE" w:rsidRPr="00284292">
              <w:rPr>
                <w:rFonts w:ascii="Arial" w:hAnsi="Arial" w:cs="Arial"/>
                <w:bCs/>
                <w:sz w:val="20"/>
                <w:szCs w:val="20"/>
                <w:lang w:val="ca-ES"/>
              </w:rPr>
              <w:t>s</w:t>
            </w:r>
            <w:r w:rsidR="00C41C2A" w:rsidRPr="00284292">
              <w:rPr>
                <w:rFonts w:ascii="Arial" w:hAnsi="Arial" w:cs="Arial"/>
                <w:bCs/>
                <w:sz w:val="20"/>
                <w:szCs w:val="20"/>
                <w:lang w:val="ca-ES"/>
              </w:rPr>
              <w:t xml:space="preserve"> and is no longer profitable for the </w:t>
            </w:r>
            <w:r w:rsidR="00D64ACE" w:rsidRPr="00284292">
              <w:rPr>
                <w:rFonts w:ascii="Arial" w:hAnsi="Arial" w:cs="Arial"/>
                <w:bCs/>
                <w:sz w:val="20"/>
                <w:szCs w:val="20"/>
                <w:lang w:val="ca-ES"/>
              </w:rPr>
              <w:t>B</w:t>
            </w:r>
            <w:r w:rsidR="00C41C2A" w:rsidRPr="00284292">
              <w:rPr>
                <w:rFonts w:ascii="Arial" w:hAnsi="Arial" w:cs="Arial"/>
                <w:bCs/>
                <w:sz w:val="20"/>
                <w:szCs w:val="20"/>
                <w:lang w:val="ca-ES"/>
              </w:rPr>
              <w:t>ank</w:t>
            </w:r>
            <w:r w:rsidR="00D64ACE" w:rsidRPr="00284292">
              <w:rPr>
                <w:rFonts w:ascii="Arial" w:hAnsi="Arial" w:cs="Arial"/>
                <w:bCs/>
                <w:sz w:val="20"/>
                <w:szCs w:val="20"/>
                <w:lang w:val="ca-ES"/>
              </w:rPr>
              <w:t>;</w:t>
            </w:r>
            <w:r w:rsidR="00C41C2A" w:rsidRPr="00284292">
              <w:rPr>
                <w:rFonts w:ascii="Arial" w:hAnsi="Arial" w:cs="Arial"/>
                <w:bCs/>
                <w:sz w:val="20"/>
                <w:szCs w:val="20"/>
                <w:lang w:val="ca-ES"/>
              </w:rPr>
              <w:t xml:space="preserve"> or </w:t>
            </w:r>
            <w:r w:rsidR="00D64ACE" w:rsidRPr="00284292">
              <w:rPr>
                <w:rFonts w:ascii="Arial" w:hAnsi="Arial" w:cs="Arial"/>
                <w:bCs/>
                <w:sz w:val="20"/>
                <w:szCs w:val="20"/>
                <w:lang w:val="ca-ES"/>
              </w:rPr>
              <w:t>the</w:t>
            </w:r>
            <w:r w:rsidR="00C41C2A" w:rsidRPr="00284292">
              <w:rPr>
                <w:rFonts w:ascii="Arial" w:hAnsi="Arial" w:cs="Arial"/>
                <w:bCs/>
                <w:sz w:val="20"/>
                <w:szCs w:val="20"/>
                <w:lang w:val="ca-ES"/>
              </w:rPr>
              <w:t xml:space="preserve"> deposit poses a threat to the bank 's financial stability</w:t>
            </w:r>
            <w:r w:rsidR="00D64ACE" w:rsidRPr="00284292">
              <w:rPr>
                <w:rFonts w:ascii="Arial" w:hAnsi="Arial" w:cs="Arial"/>
                <w:bCs/>
                <w:sz w:val="20"/>
                <w:szCs w:val="20"/>
                <w:lang w:val="ca-ES"/>
              </w:rPr>
              <w:t>;</w:t>
            </w:r>
            <w:r w:rsidR="00C41C2A" w:rsidRPr="00284292">
              <w:rPr>
                <w:rFonts w:ascii="Arial" w:hAnsi="Arial" w:cs="Arial"/>
                <w:bCs/>
                <w:sz w:val="20"/>
                <w:szCs w:val="20"/>
                <w:lang w:val="ca-ES"/>
              </w:rPr>
              <w:t xml:space="preserve"> or if the deposit interest rate and/or other conditions are no longer in line</w:t>
            </w:r>
            <w:r w:rsidR="00D64ACE" w:rsidRPr="00284292">
              <w:rPr>
                <w:rFonts w:ascii="Arial" w:hAnsi="Arial" w:cs="Arial"/>
                <w:bCs/>
                <w:sz w:val="20"/>
                <w:szCs w:val="20"/>
                <w:lang w:val="ca-ES"/>
              </w:rPr>
              <w:t xml:space="preserve"> with the Bank’s current policy.</w:t>
            </w:r>
          </w:p>
          <w:p w14:paraId="58E198D7" w14:textId="335079B9" w:rsidR="00D64ACE" w:rsidRPr="00284292" w:rsidRDefault="00D64ACE" w:rsidP="00D64ACE">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 xml:space="preserve">In case of changes to the essential terms and conditions of this Agreement, the Bank shall notify the customer no less than 2 (two) months before the change, and in case of increase in the price of another financial product – no less than one month before the increase, in writing or via email or Internet Banking or short text message or telephone call. </w:t>
            </w:r>
          </w:p>
          <w:p w14:paraId="52D9D476" w14:textId="001CD7BC" w:rsidR="00F961E5" w:rsidRPr="00284292" w:rsidRDefault="00F961E5" w:rsidP="001E4C79">
            <w:pPr>
              <w:pStyle w:val="Header"/>
              <w:numPr>
                <w:ilvl w:val="0"/>
                <w:numId w:val="39"/>
              </w:numPr>
              <w:spacing w:before="60" w:after="60" w:line="288" w:lineRule="auto"/>
              <w:jc w:val="both"/>
              <w:rPr>
                <w:rFonts w:ascii="Arial" w:hAnsi="Arial" w:cs="Arial"/>
                <w:bCs/>
                <w:sz w:val="20"/>
                <w:szCs w:val="20"/>
                <w:lang w:val="ca-ES"/>
              </w:rPr>
            </w:pPr>
            <w:r w:rsidRPr="00284292">
              <w:rPr>
                <w:rFonts w:ascii="Arial" w:hAnsi="Arial" w:cs="Arial"/>
                <w:bCs/>
                <w:sz w:val="20"/>
                <w:szCs w:val="20"/>
                <w:lang w:val="ca-ES"/>
              </w:rPr>
              <w:t xml:space="preserve">The </w:t>
            </w:r>
            <w:r w:rsidR="00416F12" w:rsidRPr="00284292">
              <w:rPr>
                <w:rFonts w:ascii="Arial" w:hAnsi="Arial" w:cs="Arial"/>
                <w:bCs/>
                <w:sz w:val="20"/>
                <w:szCs w:val="20"/>
                <w:lang w:val="ca-ES"/>
              </w:rPr>
              <w:t>Contractor</w:t>
            </w:r>
            <w:r w:rsidRPr="00284292">
              <w:rPr>
                <w:rFonts w:ascii="Arial" w:hAnsi="Arial" w:cs="Arial"/>
                <w:bCs/>
                <w:sz w:val="20"/>
                <w:szCs w:val="20"/>
                <w:lang w:val="ca-ES"/>
              </w:rPr>
              <w:t xml:space="preserve"> </w:t>
            </w:r>
            <w:r w:rsidR="001E4C79" w:rsidRPr="00284292">
              <w:rPr>
                <w:rFonts w:ascii="Arial" w:hAnsi="Arial" w:cs="Arial"/>
                <w:bCs/>
                <w:sz w:val="20"/>
                <w:szCs w:val="20"/>
                <w:lang w:val="ca-ES"/>
              </w:rPr>
              <w:t>may</w:t>
            </w:r>
            <w:r w:rsidRPr="00284292">
              <w:rPr>
                <w:rFonts w:ascii="Arial" w:hAnsi="Arial" w:cs="Arial"/>
                <w:bCs/>
                <w:sz w:val="20"/>
                <w:szCs w:val="20"/>
                <w:lang w:val="ca-ES"/>
              </w:rPr>
              <w:t xml:space="preserve"> file a </w:t>
            </w:r>
            <w:r w:rsidR="001E4C79" w:rsidRPr="00284292">
              <w:rPr>
                <w:rFonts w:ascii="Arial" w:hAnsi="Arial" w:cs="Arial"/>
                <w:bCs/>
                <w:sz w:val="20"/>
                <w:szCs w:val="20"/>
                <w:lang w:val="ca-ES"/>
              </w:rPr>
              <w:t>compliant</w:t>
            </w:r>
            <w:r w:rsidRPr="00284292">
              <w:rPr>
                <w:rFonts w:ascii="Arial" w:hAnsi="Arial" w:cs="Arial"/>
                <w:bCs/>
                <w:sz w:val="20"/>
                <w:szCs w:val="20"/>
                <w:lang w:val="ca-ES"/>
              </w:rPr>
              <w:t xml:space="preserve"> orally, in free written, standard written or electronic form. The complaint is responded to within no more than 1 (one) month after its receipt</w:t>
            </w:r>
            <w:r w:rsidR="001E4C79" w:rsidRPr="00284292">
              <w:rPr>
                <w:rFonts w:ascii="Arial" w:hAnsi="Arial" w:cs="Arial"/>
                <w:bCs/>
                <w:sz w:val="20"/>
                <w:szCs w:val="20"/>
                <w:lang w:val="ca-ES"/>
              </w:rPr>
              <w:t>.</w:t>
            </w:r>
          </w:p>
          <w:p w14:paraId="0675392E" w14:textId="0388E4D7" w:rsidR="00590CE1" w:rsidRPr="00284292" w:rsidRDefault="00590CE1" w:rsidP="00590CE1">
            <w:pPr>
              <w:pStyle w:val="Header"/>
              <w:numPr>
                <w:ilvl w:val="0"/>
                <w:numId w:val="39"/>
              </w:numPr>
              <w:spacing w:before="60" w:after="60" w:line="288" w:lineRule="auto"/>
              <w:jc w:val="both"/>
              <w:rPr>
                <w:rFonts w:ascii="Arial" w:hAnsi="Arial" w:cs="Arial"/>
                <w:bCs/>
                <w:color w:val="FF0000"/>
                <w:sz w:val="20"/>
                <w:szCs w:val="20"/>
                <w:lang w:val="ca-ES"/>
              </w:rPr>
            </w:pPr>
            <w:r w:rsidRPr="00284292">
              <w:rPr>
                <w:rFonts w:ascii="Arial" w:hAnsi="Arial" w:cs="Arial"/>
                <w:bCs/>
                <w:color w:val="FF0000"/>
                <w:sz w:val="20"/>
                <w:szCs w:val="20"/>
                <w:lang w:val="ca-ES"/>
              </w:rPr>
              <w:t>A foreign currency deposit poses a significant risk to the depositor!</w:t>
            </w:r>
          </w:p>
          <w:p w14:paraId="5A1F586D" w14:textId="7E541AEA" w:rsidR="00590CE1" w:rsidRPr="00284292" w:rsidRDefault="00590CE1" w:rsidP="00590CE1">
            <w:pPr>
              <w:pStyle w:val="Header"/>
              <w:numPr>
                <w:ilvl w:val="0"/>
                <w:numId w:val="39"/>
              </w:numPr>
              <w:spacing w:before="60" w:after="60" w:line="288" w:lineRule="auto"/>
              <w:jc w:val="both"/>
              <w:rPr>
                <w:rFonts w:ascii="Arial" w:hAnsi="Arial" w:cs="Arial"/>
                <w:bCs/>
                <w:color w:val="FF0000"/>
                <w:sz w:val="20"/>
                <w:szCs w:val="20"/>
                <w:lang w:val="ca-ES"/>
              </w:rPr>
            </w:pPr>
            <w:r w:rsidRPr="00284292">
              <w:rPr>
                <w:rFonts w:ascii="Arial" w:hAnsi="Arial" w:cs="Arial"/>
                <w:bCs/>
                <w:color w:val="FF0000"/>
                <w:sz w:val="20"/>
                <w:szCs w:val="20"/>
                <w:lang w:val="ca-ES"/>
              </w:rPr>
              <w:t>Fluctuations in exchange rates may significantly reduce the GEL-denominated interest earnings.</w:t>
            </w:r>
          </w:p>
          <w:p w14:paraId="2783B779" w14:textId="7FB08170" w:rsidR="00590CE1" w:rsidRPr="00284292" w:rsidRDefault="00590CE1" w:rsidP="00590CE1">
            <w:pPr>
              <w:pStyle w:val="Header"/>
              <w:numPr>
                <w:ilvl w:val="0"/>
                <w:numId w:val="39"/>
              </w:numPr>
              <w:spacing w:before="60" w:after="60" w:line="288" w:lineRule="auto"/>
              <w:jc w:val="both"/>
              <w:rPr>
                <w:rFonts w:ascii="Arial" w:hAnsi="Arial" w:cs="Arial"/>
                <w:bCs/>
                <w:color w:val="FF0000"/>
                <w:sz w:val="20"/>
                <w:szCs w:val="20"/>
                <w:lang w:val="ca-ES"/>
              </w:rPr>
            </w:pPr>
            <w:r w:rsidRPr="00284292">
              <w:rPr>
                <w:rFonts w:ascii="Arial" w:hAnsi="Arial" w:cs="Arial"/>
                <w:bCs/>
                <w:color w:val="FF0000"/>
                <w:sz w:val="20"/>
                <w:szCs w:val="20"/>
                <w:lang w:val="ca-ES"/>
              </w:rPr>
              <w:t>Effective interest rate in case of potential 15% annual appreciation of GEL: --%</w:t>
            </w:r>
            <w:r w:rsidR="0098307B" w:rsidRPr="00284292">
              <w:rPr>
                <w:rStyle w:val="FootnoteReference"/>
                <w:rFonts w:ascii="Arial" w:hAnsi="Arial" w:cs="Arial"/>
                <w:bCs/>
                <w:color w:val="FF0000"/>
                <w:sz w:val="20"/>
                <w:szCs w:val="20"/>
                <w:lang w:val="ca-ES"/>
              </w:rPr>
              <w:footnoteReference w:id="1"/>
            </w:r>
          </w:p>
          <w:p w14:paraId="56C60ACC" w14:textId="77777777" w:rsidR="0098307B" w:rsidRPr="00284292" w:rsidRDefault="0098307B" w:rsidP="0098307B">
            <w:pPr>
              <w:spacing w:before="60" w:after="60" w:line="288" w:lineRule="auto"/>
              <w:jc w:val="center"/>
              <w:rPr>
                <w:rFonts w:ascii="Arial" w:hAnsi="Arial" w:cs="Arial"/>
                <w:bCs/>
                <w:sz w:val="20"/>
                <w:szCs w:val="20"/>
              </w:rPr>
            </w:pPr>
            <w:r w:rsidRPr="00284292">
              <w:rPr>
                <w:rFonts w:ascii="Arial" w:hAnsi="Arial" w:cs="Arial"/>
                <w:bCs/>
                <w:sz w:val="20"/>
                <w:szCs w:val="20"/>
              </w:rPr>
              <w:t xml:space="preserve">Information useful to customers can be found on the website of the National Bank of Georgia </w:t>
            </w:r>
            <w:r w:rsidRPr="00284292">
              <w:rPr>
                <w:rFonts w:ascii="Arial" w:hAnsi="Arial" w:cs="Arial"/>
                <w:bCs/>
                <w:sz w:val="20"/>
                <w:szCs w:val="20"/>
                <w:cs/>
              </w:rPr>
              <w:t xml:space="preserve">– </w:t>
            </w:r>
            <w:r w:rsidRPr="00284292">
              <w:rPr>
                <w:rFonts w:ascii="Arial" w:hAnsi="Arial" w:cs="Arial"/>
                <w:bCs/>
                <w:sz w:val="20"/>
                <w:szCs w:val="20"/>
              </w:rPr>
              <w:t xml:space="preserve">www.nbg.gov.ge/cp or via hotline </w:t>
            </w:r>
            <w:r w:rsidRPr="00284292">
              <w:rPr>
                <w:rFonts w:ascii="Arial" w:hAnsi="Arial" w:cs="Arial"/>
                <w:bCs/>
                <w:sz w:val="20"/>
                <w:szCs w:val="20"/>
                <w:cs/>
              </w:rPr>
              <w:t xml:space="preserve">– </w:t>
            </w:r>
            <w:r w:rsidRPr="00284292">
              <w:rPr>
                <w:rFonts w:ascii="Arial" w:hAnsi="Arial" w:cs="Arial"/>
                <w:bCs/>
                <w:sz w:val="20"/>
                <w:szCs w:val="20"/>
              </w:rPr>
              <w:t>032 2406406.</w:t>
            </w:r>
          </w:p>
          <w:p w14:paraId="2681A5E5" w14:textId="77777777" w:rsidR="0098307B" w:rsidRPr="0098307B" w:rsidRDefault="0098307B" w:rsidP="0098307B">
            <w:pPr>
              <w:pStyle w:val="Header"/>
              <w:spacing w:before="60" w:after="60" w:line="288" w:lineRule="auto"/>
              <w:jc w:val="center"/>
              <w:rPr>
                <w:rFonts w:ascii="Arial Narrow" w:hAnsi="Arial Narrow" w:cs="Arial"/>
                <w:bCs/>
                <w:color w:val="FF0000"/>
                <w:sz w:val="20"/>
                <w:szCs w:val="20"/>
              </w:rPr>
            </w:pPr>
          </w:p>
          <w:p w14:paraId="653E5E1F" w14:textId="77777777" w:rsidR="00317F4D" w:rsidRDefault="00317F4D" w:rsidP="00F961E5">
            <w:pPr>
              <w:pStyle w:val="Header"/>
              <w:spacing w:before="60" w:after="60" w:line="288" w:lineRule="auto"/>
              <w:ind w:left="101"/>
              <w:jc w:val="both"/>
              <w:rPr>
                <w:rFonts w:ascii="Arial Narrow" w:hAnsi="Arial Narrow" w:cs="Arial"/>
                <w:b/>
                <w:lang w:val="ca-ES"/>
              </w:rPr>
            </w:pPr>
          </w:p>
          <w:p w14:paraId="5619DAA6" w14:textId="77777777" w:rsidR="00317F4D" w:rsidRPr="00595322" w:rsidRDefault="00317F4D" w:rsidP="00317F4D">
            <w:pPr>
              <w:pStyle w:val="Header"/>
              <w:spacing w:before="60" w:after="60" w:line="288" w:lineRule="auto"/>
              <w:jc w:val="both"/>
              <w:rPr>
                <w:rFonts w:ascii="Arial Narrow" w:hAnsi="Arial Narrow"/>
                <w:b/>
                <w:lang w:val="ca-ES"/>
              </w:rPr>
            </w:pPr>
          </w:p>
          <w:p w14:paraId="7A071BE8" w14:textId="478A7630" w:rsidR="00261A8A" w:rsidRPr="00595322" w:rsidRDefault="00261A8A" w:rsidP="00317F4D">
            <w:pPr>
              <w:spacing w:before="60" w:after="60" w:line="288" w:lineRule="auto"/>
              <w:ind w:left="221"/>
              <w:jc w:val="center"/>
              <w:rPr>
                <w:rFonts w:ascii="Arial Narrow" w:hAnsi="Arial Narrow" w:cs="Arial"/>
                <w:b/>
                <w:lang w:val="ca-ES"/>
              </w:rPr>
            </w:pPr>
          </w:p>
        </w:tc>
      </w:tr>
    </w:tbl>
    <w:p w14:paraId="61AB5715" w14:textId="0A0015B3" w:rsidR="00DC7E09" w:rsidRDefault="00DC7E09" w:rsidP="00317F4D">
      <w:pPr>
        <w:spacing w:before="60" w:after="60" w:line="288" w:lineRule="auto"/>
        <w:rPr>
          <w:rFonts w:asciiTheme="minorHAnsi" w:hAnsiTheme="minorHAnsi" w:cs="Sylfaen"/>
          <w:color w:val="000000"/>
          <w:lang w:val="ka-GE"/>
        </w:rPr>
      </w:pPr>
    </w:p>
    <w:p w14:paraId="404D2016" w14:textId="7FD7F230" w:rsidR="000E2FB1" w:rsidRDefault="000E2FB1" w:rsidP="00317F4D">
      <w:pPr>
        <w:spacing w:before="60" w:after="60" w:line="288" w:lineRule="auto"/>
        <w:rPr>
          <w:rFonts w:asciiTheme="minorHAnsi" w:hAnsiTheme="minorHAnsi" w:cs="Sylfaen"/>
          <w:color w:val="000000"/>
          <w:lang w:val="ka-GE"/>
        </w:rPr>
      </w:pPr>
    </w:p>
    <w:p w14:paraId="1A732875" w14:textId="4EE3BE49" w:rsidR="00416F12" w:rsidRDefault="00416F12" w:rsidP="00317F4D">
      <w:pPr>
        <w:spacing w:before="60" w:after="60" w:line="288" w:lineRule="auto"/>
        <w:rPr>
          <w:rFonts w:asciiTheme="minorHAnsi" w:hAnsiTheme="minorHAnsi" w:cs="Sylfaen"/>
          <w:color w:val="000000"/>
          <w:lang w:val="ka-GE"/>
        </w:rPr>
      </w:pPr>
    </w:p>
    <w:p w14:paraId="1207CFB0" w14:textId="77777777" w:rsidR="00416F12" w:rsidRDefault="00416F12" w:rsidP="00317F4D">
      <w:pPr>
        <w:spacing w:before="60" w:after="60" w:line="288" w:lineRule="auto"/>
        <w:rPr>
          <w:rFonts w:asciiTheme="minorHAnsi" w:hAnsiTheme="minorHAnsi" w:cs="Sylfaen"/>
          <w:color w:val="000000"/>
          <w:lang w:val="ka-GE"/>
        </w:rPr>
      </w:pPr>
    </w:p>
    <w:p w14:paraId="51E55A9A" w14:textId="00FC2382" w:rsidR="000E2FB1" w:rsidRPr="00264A3D" w:rsidRDefault="009519C8" w:rsidP="000E2FB1">
      <w:pPr>
        <w:pStyle w:val="Header"/>
        <w:spacing w:before="60" w:after="60" w:line="288" w:lineRule="auto"/>
        <w:jc w:val="center"/>
        <w:rPr>
          <w:rFonts w:ascii="Arial" w:hAnsi="Arial" w:cs="Arial"/>
          <w:b/>
        </w:rPr>
      </w:pPr>
      <w:r w:rsidRPr="00264A3D">
        <w:rPr>
          <w:rFonts w:ascii="Arial" w:hAnsi="Arial" w:cs="Arial"/>
          <w:b/>
        </w:rPr>
        <w:t>Child</w:t>
      </w:r>
      <w:r w:rsidR="005D7D56" w:rsidRPr="00264A3D">
        <w:rPr>
          <w:rFonts w:ascii="Arial" w:hAnsi="Arial" w:cs="Arial"/>
          <w:b/>
          <w:lang w:val="en-GB"/>
        </w:rPr>
        <w:t xml:space="preserve"> Deposit </w:t>
      </w:r>
      <w:r w:rsidR="000E2FB1" w:rsidRPr="00264A3D">
        <w:rPr>
          <w:rFonts w:ascii="Arial" w:hAnsi="Arial" w:cs="Arial"/>
          <w:b/>
        </w:rPr>
        <w:t>Agreement No ____</w:t>
      </w:r>
    </w:p>
    <w:p w14:paraId="0754EBCF" w14:textId="414D24F5" w:rsidR="000E2FB1" w:rsidRPr="00264A3D" w:rsidRDefault="000E2FB1" w:rsidP="000E2FB1">
      <w:pPr>
        <w:pStyle w:val="Header"/>
        <w:spacing w:before="60" w:after="60" w:line="288" w:lineRule="auto"/>
        <w:ind w:left="101"/>
        <w:jc w:val="both"/>
        <w:rPr>
          <w:rFonts w:ascii="Arial" w:hAnsi="Arial" w:cs="Arial"/>
          <w:b/>
          <w:lang w:val="ca-ES"/>
        </w:rPr>
      </w:pPr>
      <w:r w:rsidRPr="00264A3D">
        <w:rPr>
          <w:rFonts w:ascii="Arial" w:hAnsi="Arial" w:cs="Arial"/>
          <w:b/>
          <w:lang w:val="ca-ES"/>
        </w:rPr>
        <w:t>The city of ___                                                                                                                                                    __ __ 20__</w:t>
      </w:r>
    </w:p>
    <w:p w14:paraId="478FA152" w14:textId="6C2CAA37" w:rsidR="000E2FB1" w:rsidRPr="00264A3D" w:rsidRDefault="000E2FB1" w:rsidP="000E2FB1">
      <w:pPr>
        <w:pStyle w:val="Header"/>
        <w:spacing w:before="60" w:after="60" w:line="288" w:lineRule="auto"/>
        <w:ind w:left="101"/>
        <w:jc w:val="both"/>
        <w:rPr>
          <w:rFonts w:ascii="Arial" w:hAnsi="Arial" w:cs="Arial"/>
          <w:b/>
          <w:lang w:val="ca-ES"/>
        </w:rPr>
      </w:pPr>
    </w:p>
    <w:p w14:paraId="088B019C" w14:textId="2A81E1BB" w:rsidR="000E2FB1" w:rsidRPr="00264A3D" w:rsidRDefault="000E2FB1" w:rsidP="000E2FB1">
      <w:pPr>
        <w:pStyle w:val="Header"/>
        <w:spacing w:before="60" w:after="60" w:line="288" w:lineRule="auto"/>
        <w:ind w:left="101"/>
        <w:jc w:val="both"/>
        <w:rPr>
          <w:rFonts w:ascii="Arial" w:hAnsi="Arial" w:cs="Arial"/>
          <w:b/>
          <w:lang w:val="ca-ES"/>
        </w:rPr>
      </w:pPr>
      <w:r w:rsidRPr="00264A3D">
        <w:rPr>
          <w:rFonts w:ascii="Arial" w:hAnsi="Arial" w:cs="Arial"/>
          <w:b/>
          <w:lang w:val="ca-ES"/>
        </w:rPr>
        <w:t>ProCredit Bank</w:t>
      </w:r>
    </w:p>
    <w:p w14:paraId="53BD85D8" w14:textId="6DA9A0FE" w:rsidR="000E2FB1" w:rsidRPr="00264A3D" w:rsidRDefault="000E2FB1" w:rsidP="000E2FB1">
      <w:pPr>
        <w:pStyle w:val="Header"/>
        <w:spacing w:before="60" w:after="60" w:line="288" w:lineRule="auto"/>
        <w:ind w:left="101"/>
        <w:jc w:val="both"/>
        <w:rPr>
          <w:rFonts w:ascii="Arial" w:hAnsi="Arial" w:cs="Arial"/>
          <w:b/>
          <w:lang w:val="ca-ES"/>
        </w:rPr>
      </w:pPr>
      <w:r w:rsidRPr="00264A3D">
        <w:rPr>
          <w:rFonts w:ascii="Arial" w:hAnsi="Arial" w:cs="Arial"/>
          <w:b/>
          <w:lang w:val="ca-ES"/>
        </w:rPr>
        <w:t>The Depositor</w:t>
      </w:r>
    </w:p>
    <w:p w14:paraId="2D6E6CDA" w14:textId="42B7809A" w:rsidR="000E2FB1" w:rsidRPr="00264A3D" w:rsidRDefault="000E2FB1" w:rsidP="000E2FB1">
      <w:pPr>
        <w:pStyle w:val="Header"/>
        <w:spacing w:before="60" w:after="60" w:line="288" w:lineRule="auto"/>
        <w:ind w:left="101"/>
        <w:jc w:val="both"/>
        <w:rPr>
          <w:rFonts w:ascii="Arial" w:hAnsi="Arial" w:cs="Arial"/>
          <w:bCs/>
          <w:lang w:val="ca-ES"/>
        </w:rPr>
      </w:pPr>
      <w:r w:rsidRPr="00264A3D">
        <w:rPr>
          <w:rFonts w:ascii="Arial" w:hAnsi="Arial" w:cs="Arial"/>
          <w:bCs/>
          <w:lang w:val="ca-ES"/>
        </w:rPr>
        <w:t>Do hereby enter into this agreement (hereinafter - the Agreement) as follows:</w:t>
      </w:r>
    </w:p>
    <w:p w14:paraId="762DF0D6" w14:textId="74E1E6C8" w:rsidR="000E2FB1" w:rsidRPr="00264A3D" w:rsidRDefault="000E2FB1" w:rsidP="000E2FB1">
      <w:pPr>
        <w:pStyle w:val="Header"/>
        <w:numPr>
          <w:ilvl w:val="0"/>
          <w:numId w:val="40"/>
        </w:numPr>
        <w:spacing w:before="60" w:after="60" w:line="288" w:lineRule="auto"/>
        <w:jc w:val="both"/>
        <w:rPr>
          <w:rFonts w:ascii="Arial" w:hAnsi="Arial" w:cs="Arial"/>
          <w:bCs/>
          <w:lang w:val="ca-ES"/>
        </w:rPr>
      </w:pPr>
      <w:r w:rsidRPr="00264A3D">
        <w:rPr>
          <w:rFonts w:ascii="Arial" w:hAnsi="Arial" w:cs="Arial"/>
          <w:bCs/>
          <w:lang w:val="ca-ES"/>
        </w:rPr>
        <w:t xml:space="preserve">The Bank </w:t>
      </w:r>
      <w:r w:rsidR="009519C8" w:rsidRPr="00264A3D">
        <w:rPr>
          <w:rFonts w:ascii="Arial" w:hAnsi="Arial" w:cs="Arial"/>
          <w:bCs/>
          <w:lang w:val="ca-ES"/>
        </w:rPr>
        <w:t xml:space="preserve">undertakes to </w:t>
      </w:r>
      <w:r w:rsidRPr="00264A3D">
        <w:rPr>
          <w:rFonts w:ascii="Arial" w:hAnsi="Arial" w:cs="Arial"/>
          <w:bCs/>
          <w:lang w:val="ca-ES"/>
        </w:rPr>
        <w:t xml:space="preserve">opens a </w:t>
      </w:r>
      <w:r w:rsidR="009519C8" w:rsidRPr="00264A3D">
        <w:rPr>
          <w:rFonts w:ascii="Arial" w:hAnsi="Arial" w:cs="Arial"/>
          <w:bCs/>
          <w:lang w:val="ca-ES"/>
        </w:rPr>
        <w:t>child deposit</w:t>
      </w:r>
      <w:r w:rsidRPr="00264A3D">
        <w:rPr>
          <w:rFonts w:ascii="Arial" w:hAnsi="Arial" w:cs="Arial"/>
          <w:bCs/>
          <w:lang w:val="ca-ES"/>
        </w:rPr>
        <w:t xml:space="preserve"> account No __________ </w:t>
      </w:r>
      <w:r w:rsidR="009519C8" w:rsidRPr="00264A3D">
        <w:rPr>
          <w:rFonts w:ascii="Arial" w:hAnsi="Arial" w:cs="Arial"/>
          <w:bCs/>
          <w:lang w:val="ca-ES"/>
        </w:rPr>
        <w:t>for</w:t>
      </w:r>
      <w:r w:rsidRPr="00264A3D">
        <w:rPr>
          <w:rFonts w:ascii="Arial" w:hAnsi="Arial" w:cs="Arial"/>
          <w:bCs/>
          <w:lang w:val="ca-ES"/>
        </w:rPr>
        <w:t xml:space="preserve"> the </w:t>
      </w:r>
      <w:r w:rsidR="003A5E2F" w:rsidRPr="00264A3D">
        <w:rPr>
          <w:rFonts w:ascii="Arial" w:hAnsi="Arial" w:cs="Arial"/>
          <w:bCs/>
          <w:lang w:val="ca-ES"/>
        </w:rPr>
        <w:t>D</w:t>
      </w:r>
      <w:r w:rsidRPr="00264A3D">
        <w:rPr>
          <w:rFonts w:ascii="Arial" w:hAnsi="Arial" w:cs="Arial"/>
          <w:bCs/>
          <w:lang w:val="ca-ES"/>
        </w:rPr>
        <w:t>epositor (hereinafter – the Deposit).</w:t>
      </w:r>
    </w:p>
    <w:p w14:paraId="4F6A425F" w14:textId="4DF9C861" w:rsidR="000E2FB1" w:rsidRPr="00264A3D" w:rsidRDefault="000E2FB1" w:rsidP="000E2FB1">
      <w:pPr>
        <w:pStyle w:val="Header"/>
        <w:numPr>
          <w:ilvl w:val="0"/>
          <w:numId w:val="40"/>
        </w:numPr>
        <w:spacing w:before="60" w:after="60" w:line="288" w:lineRule="auto"/>
        <w:jc w:val="both"/>
        <w:rPr>
          <w:rFonts w:ascii="Arial" w:hAnsi="Arial" w:cs="Arial"/>
          <w:bCs/>
          <w:lang w:val="ca-ES"/>
        </w:rPr>
      </w:pPr>
      <w:r w:rsidRPr="00264A3D">
        <w:rPr>
          <w:rFonts w:ascii="Arial" w:hAnsi="Arial" w:cs="Arial"/>
          <w:bCs/>
          <w:lang w:val="ca-ES"/>
        </w:rPr>
        <w:t xml:space="preserve">Type of deposit interest rate: </w:t>
      </w:r>
      <w:r w:rsidR="003A5E2F" w:rsidRPr="00264A3D">
        <w:rPr>
          <w:rFonts w:ascii="Arial" w:hAnsi="Arial" w:cs="Arial"/>
          <w:bCs/>
          <w:lang w:val="ca-ES"/>
        </w:rPr>
        <w:t>V</w:t>
      </w:r>
      <w:r w:rsidRPr="00264A3D">
        <w:rPr>
          <w:rFonts w:ascii="Arial" w:hAnsi="Arial" w:cs="Arial"/>
          <w:bCs/>
          <w:lang w:val="ca-ES"/>
        </w:rPr>
        <w:t>ariable</w:t>
      </w:r>
    </w:p>
    <w:p w14:paraId="5F0334F4" w14:textId="77777777" w:rsidR="000E2FB1" w:rsidRPr="00264A3D" w:rsidRDefault="000E2FB1" w:rsidP="000E2FB1">
      <w:pPr>
        <w:pStyle w:val="Header"/>
        <w:numPr>
          <w:ilvl w:val="0"/>
          <w:numId w:val="40"/>
        </w:numPr>
        <w:spacing w:before="60" w:after="60" w:line="288" w:lineRule="auto"/>
        <w:jc w:val="both"/>
        <w:rPr>
          <w:rFonts w:ascii="Arial" w:hAnsi="Arial" w:cs="Arial"/>
          <w:bCs/>
          <w:lang w:val="ca-ES"/>
        </w:rPr>
      </w:pPr>
      <w:r w:rsidRPr="00264A3D">
        <w:rPr>
          <w:rFonts w:ascii="Arial" w:hAnsi="Arial" w:cs="Arial"/>
          <w:bCs/>
          <w:lang w:val="ca-ES"/>
        </w:rPr>
        <w:t>Annual deposit interest rate: __%</w:t>
      </w:r>
    </w:p>
    <w:p w14:paraId="1F921774" w14:textId="12BD9ECD" w:rsidR="000E2FB1" w:rsidRPr="00264A3D" w:rsidRDefault="000E2FB1" w:rsidP="000E2FB1">
      <w:pPr>
        <w:pStyle w:val="Header"/>
        <w:numPr>
          <w:ilvl w:val="0"/>
          <w:numId w:val="40"/>
        </w:numPr>
        <w:spacing w:before="60" w:after="60" w:line="288" w:lineRule="auto"/>
        <w:jc w:val="both"/>
        <w:rPr>
          <w:rFonts w:ascii="Arial" w:hAnsi="Arial" w:cs="Arial"/>
          <w:bCs/>
          <w:lang w:val="ca-ES"/>
        </w:rPr>
      </w:pPr>
      <w:r w:rsidRPr="00264A3D">
        <w:rPr>
          <w:rFonts w:ascii="Arial" w:hAnsi="Arial" w:cs="Arial"/>
          <w:bCs/>
          <w:lang w:val="ca-ES"/>
        </w:rPr>
        <w:t>Effective deposit interest rate: __%</w:t>
      </w:r>
    </w:p>
    <w:p w14:paraId="601F4F3B" w14:textId="7926C2DA" w:rsidR="006C3F22" w:rsidRPr="00264A3D" w:rsidRDefault="006C3F22" w:rsidP="006C3F22">
      <w:pPr>
        <w:pStyle w:val="Header"/>
        <w:numPr>
          <w:ilvl w:val="0"/>
          <w:numId w:val="39"/>
        </w:numPr>
        <w:spacing w:before="60" w:after="60" w:line="288" w:lineRule="auto"/>
        <w:jc w:val="both"/>
        <w:rPr>
          <w:rFonts w:ascii="Arial" w:hAnsi="Arial" w:cs="Arial"/>
          <w:bCs/>
          <w:color w:val="FF0000"/>
          <w:lang w:val="ca-ES"/>
        </w:rPr>
      </w:pPr>
      <w:r w:rsidRPr="00264A3D">
        <w:rPr>
          <w:rFonts w:ascii="Arial" w:hAnsi="Arial" w:cs="Arial"/>
          <w:bCs/>
          <w:color w:val="FF0000"/>
          <w:lang w:val="ca-ES"/>
        </w:rPr>
        <w:t>A foreign currency deposit poses a significant risk to the depositor!</w:t>
      </w:r>
    </w:p>
    <w:p w14:paraId="2C2F71E9" w14:textId="602193DB" w:rsidR="006C3F22" w:rsidRPr="00264A3D" w:rsidRDefault="006C3F22" w:rsidP="006C3F22">
      <w:pPr>
        <w:pStyle w:val="Header"/>
        <w:numPr>
          <w:ilvl w:val="0"/>
          <w:numId w:val="39"/>
        </w:numPr>
        <w:spacing w:before="60" w:after="60" w:line="288" w:lineRule="auto"/>
        <w:jc w:val="both"/>
        <w:rPr>
          <w:rFonts w:ascii="Arial" w:hAnsi="Arial" w:cs="Arial"/>
          <w:bCs/>
          <w:color w:val="FF0000"/>
          <w:lang w:val="ca-ES"/>
        </w:rPr>
      </w:pPr>
      <w:r w:rsidRPr="00264A3D">
        <w:rPr>
          <w:rFonts w:ascii="Arial" w:hAnsi="Arial" w:cs="Arial"/>
          <w:bCs/>
          <w:color w:val="FF0000"/>
          <w:lang w:val="ca-ES"/>
        </w:rPr>
        <w:t>Fluctuations in exchange rates may significantly reduce the GEL-denominated interest earnings.</w:t>
      </w:r>
    </w:p>
    <w:p w14:paraId="5FE72396" w14:textId="0DC7335F" w:rsidR="000E2FB1" w:rsidRPr="00264A3D" w:rsidRDefault="006C3F22" w:rsidP="006C3F22">
      <w:pPr>
        <w:pStyle w:val="Header"/>
        <w:numPr>
          <w:ilvl w:val="0"/>
          <w:numId w:val="39"/>
        </w:numPr>
        <w:spacing w:before="60" w:after="60" w:line="288" w:lineRule="auto"/>
        <w:jc w:val="both"/>
        <w:rPr>
          <w:rFonts w:ascii="Arial" w:hAnsi="Arial" w:cs="Arial"/>
          <w:b/>
          <w:lang w:val="ca-ES"/>
        </w:rPr>
      </w:pPr>
      <w:r w:rsidRPr="00264A3D">
        <w:rPr>
          <w:rFonts w:ascii="Arial" w:hAnsi="Arial" w:cs="Arial"/>
          <w:bCs/>
          <w:color w:val="FF0000"/>
          <w:lang w:val="ca-ES"/>
        </w:rPr>
        <w:t>Effective interest rate in case of potential 15% annual appreciation of GEL: --%</w:t>
      </w:r>
      <w:r w:rsidRPr="00264A3D">
        <w:rPr>
          <w:rStyle w:val="FootnoteReference"/>
          <w:rFonts w:ascii="Arial" w:hAnsi="Arial" w:cs="Arial"/>
          <w:bCs/>
          <w:color w:val="FF0000"/>
          <w:lang w:val="ca-ES"/>
        </w:rPr>
        <w:footnoteReference w:id="2"/>
      </w:r>
    </w:p>
    <w:p w14:paraId="5C73648D" w14:textId="7ED1213C" w:rsidR="000E2FB1" w:rsidRPr="00264A3D" w:rsidRDefault="006C3F22" w:rsidP="006C3F22">
      <w:pPr>
        <w:pStyle w:val="ListParagraph"/>
        <w:numPr>
          <w:ilvl w:val="0"/>
          <w:numId w:val="40"/>
        </w:numPr>
        <w:spacing w:before="60" w:after="60" w:line="288" w:lineRule="auto"/>
        <w:rPr>
          <w:rFonts w:ascii="Arial" w:hAnsi="Arial" w:cs="Arial"/>
          <w:bCs/>
          <w:lang w:val="ca-ES"/>
        </w:rPr>
      </w:pPr>
      <w:r w:rsidRPr="00264A3D">
        <w:rPr>
          <w:rFonts w:ascii="Arial" w:hAnsi="Arial" w:cs="Arial"/>
          <w:bCs/>
          <w:lang w:val="ca-ES"/>
        </w:rPr>
        <w:t>Financial costs of the deposit: GEL __</w:t>
      </w:r>
    </w:p>
    <w:p w14:paraId="17D659CE" w14:textId="77777777" w:rsidR="00AC6B89" w:rsidRPr="00264A3D" w:rsidRDefault="00AC6B89" w:rsidP="00AC6B89">
      <w:pPr>
        <w:pStyle w:val="Header"/>
        <w:numPr>
          <w:ilvl w:val="0"/>
          <w:numId w:val="40"/>
        </w:numPr>
        <w:spacing w:before="60" w:after="60" w:line="288" w:lineRule="auto"/>
        <w:jc w:val="both"/>
        <w:rPr>
          <w:rFonts w:ascii="Arial" w:hAnsi="Arial" w:cs="Arial"/>
          <w:bCs/>
          <w:lang w:val="ca-ES"/>
        </w:rPr>
      </w:pPr>
      <w:r w:rsidRPr="00264A3D">
        <w:rPr>
          <w:rFonts w:ascii="Arial" w:hAnsi="Arial" w:cs="Arial"/>
          <w:bCs/>
          <w:lang w:val="ca-ES"/>
        </w:rPr>
        <w:t>The deposit is open for ___ months and the closing date is __ / __ / ____.</w:t>
      </w:r>
    </w:p>
    <w:p w14:paraId="5440BB22" w14:textId="7DD66FEA" w:rsidR="00AC6B89" w:rsidRPr="00264A3D" w:rsidRDefault="00AC6B89" w:rsidP="00AC6B89">
      <w:pPr>
        <w:pStyle w:val="ListParagraph"/>
        <w:numPr>
          <w:ilvl w:val="0"/>
          <w:numId w:val="40"/>
        </w:numPr>
        <w:spacing w:before="60" w:after="60" w:line="288" w:lineRule="auto"/>
        <w:jc w:val="both"/>
        <w:rPr>
          <w:rFonts w:ascii="Arial" w:hAnsi="Arial" w:cs="Arial"/>
          <w:bCs/>
          <w:lang w:val="ca-ES"/>
        </w:rPr>
      </w:pPr>
      <w:r w:rsidRPr="00264A3D">
        <w:rPr>
          <w:rFonts w:ascii="Arial" w:hAnsi="Arial" w:cs="Arial"/>
          <w:bCs/>
          <w:lang w:val="ca-ES"/>
        </w:rPr>
        <w:t>The Contractor shall make the first payment to the current account No _____________ in the amount of EUR/USD/GEL _____, which the Bank will transfer to the Depositor’s deposit account No _____________.</w:t>
      </w:r>
    </w:p>
    <w:p w14:paraId="469B52E8" w14:textId="77777777" w:rsidR="00AC6B89" w:rsidRPr="00264A3D" w:rsidRDefault="00AC6B89" w:rsidP="00AC6B89">
      <w:pPr>
        <w:pStyle w:val="Header"/>
        <w:numPr>
          <w:ilvl w:val="0"/>
          <w:numId w:val="40"/>
        </w:numPr>
        <w:spacing w:before="60" w:after="60" w:line="288" w:lineRule="auto"/>
        <w:jc w:val="both"/>
        <w:rPr>
          <w:rFonts w:ascii="Arial" w:hAnsi="Arial" w:cs="Arial"/>
          <w:bCs/>
          <w:lang w:val="ca-ES"/>
        </w:rPr>
      </w:pPr>
      <w:r w:rsidRPr="00264A3D">
        <w:rPr>
          <w:rFonts w:ascii="Arial" w:hAnsi="Arial" w:cs="Arial"/>
          <w:bCs/>
          <w:lang w:val="ca-ES"/>
        </w:rPr>
        <w:t>Annual interest rate in case of early termination of the Agreement: ___% for each full year, ___% for the remaining term</w:t>
      </w:r>
    </w:p>
    <w:p w14:paraId="5257FAF7" w14:textId="0B47C13D" w:rsidR="00AC6B89" w:rsidRPr="00264A3D" w:rsidRDefault="00AC6B89" w:rsidP="00AC6B89">
      <w:pPr>
        <w:pStyle w:val="ListParagraph"/>
        <w:numPr>
          <w:ilvl w:val="0"/>
          <w:numId w:val="40"/>
        </w:numPr>
        <w:spacing w:before="60" w:after="60" w:line="288" w:lineRule="auto"/>
        <w:jc w:val="both"/>
        <w:rPr>
          <w:rFonts w:ascii="Arial" w:hAnsi="Arial" w:cs="Arial"/>
          <w:bCs/>
          <w:lang w:val="ca-ES"/>
        </w:rPr>
      </w:pPr>
      <w:r w:rsidRPr="00264A3D">
        <w:rPr>
          <w:rFonts w:ascii="Arial" w:hAnsi="Arial" w:cs="Arial"/>
          <w:bCs/>
          <w:lang w:val="ca-ES"/>
        </w:rPr>
        <w:t xml:space="preserve">The interest rate is calculated on a daily basis, from the following day of signing the Agreement to the closing date of the </w:t>
      </w:r>
      <w:r w:rsidR="00665C66" w:rsidRPr="00264A3D">
        <w:rPr>
          <w:rFonts w:ascii="Arial" w:hAnsi="Arial" w:cs="Arial"/>
          <w:bCs/>
          <w:lang w:val="ca-ES"/>
        </w:rPr>
        <w:t>d</w:t>
      </w:r>
      <w:r w:rsidRPr="00264A3D">
        <w:rPr>
          <w:rFonts w:ascii="Arial" w:hAnsi="Arial" w:cs="Arial"/>
          <w:bCs/>
          <w:lang w:val="ca-ES"/>
        </w:rPr>
        <w:t xml:space="preserve">eposit, inclusive. Accrued interest shall be credited to the Depositor’s account No _____________ at the end of </w:t>
      </w:r>
      <w:r w:rsidR="00665C66" w:rsidRPr="00264A3D">
        <w:rPr>
          <w:rFonts w:ascii="Arial" w:hAnsi="Arial" w:cs="Arial"/>
          <w:bCs/>
          <w:lang w:val="ca-ES"/>
        </w:rPr>
        <w:t xml:space="preserve">every 12 months from the opening of the </w:t>
      </w:r>
      <w:r w:rsidRPr="00264A3D">
        <w:rPr>
          <w:rFonts w:ascii="Arial" w:hAnsi="Arial" w:cs="Arial"/>
          <w:bCs/>
          <w:lang w:val="ca-ES"/>
        </w:rPr>
        <w:t>deposit</w:t>
      </w:r>
      <w:r w:rsidR="00665C66" w:rsidRPr="00264A3D">
        <w:rPr>
          <w:rFonts w:ascii="Arial" w:hAnsi="Arial" w:cs="Arial"/>
          <w:bCs/>
          <w:lang w:val="ca-ES"/>
        </w:rPr>
        <w:t>. The interest on the deposit is capitalized, i.e. the accrued interest is credited to the deposit and added to the deposit funds.</w:t>
      </w:r>
    </w:p>
    <w:p w14:paraId="5BA749B0" w14:textId="1AD7613F" w:rsidR="00AC6B89" w:rsidRPr="00264A3D" w:rsidRDefault="00665C66" w:rsidP="00665C66">
      <w:pPr>
        <w:pStyle w:val="Header"/>
        <w:numPr>
          <w:ilvl w:val="0"/>
          <w:numId w:val="40"/>
        </w:numPr>
        <w:spacing w:before="60" w:after="60" w:line="288" w:lineRule="auto"/>
        <w:jc w:val="both"/>
        <w:rPr>
          <w:rFonts w:ascii="Arial" w:hAnsi="Arial" w:cs="Arial"/>
          <w:bCs/>
          <w:lang w:val="ca-ES"/>
        </w:rPr>
      </w:pPr>
      <w:r w:rsidRPr="00264A3D">
        <w:rPr>
          <w:rFonts w:ascii="Arial" w:hAnsi="Arial" w:cs="Arial"/>
          <w:bCs/>
          <w:lang w:val="ca-ES"/>
        </w:rPr>
        <w:t>Assumptions used to calculate the effective deposit interest rate: Withdrawals are made at the end of the term. No inpayments are made to the deposit.</w:t>
      </w:r>
    </w:p>
    <w:p w14:paraId="79ACFDED" w14:textId="5EBEB7C7" w:rsidR="00CA64FD" w:rsidRPr="00264A3D" w:rsidRDefault="00CA64FD" w:rsidP="00CA64FD">
      <w:pPr>
        <w:pStyle w:val="ListParagraph"/>
        <w:numPr>
          <w:ilvl w:val="0"/>
          <w:numId w:val="40"/>
        </w:numPr>
        <w:spacing w:before="60" w:after="60" w:line="288" w:lineRule="auto"/>
        <w:jc w:val="both"/>
        <w:rPr>
          <w:rFonts w:ascii="Arial" w:hAnsi="Arial" w:cs="Arial"/>
          <w:bCs/>
          <w:lang w:val="ca-ES"/>
        </w:rPr>
      </w:pPr>
      <w:r w:rsidRPr="00264A3D">
        <w:rPr>
          <w:rFonts w:ascii="Arial" w:hAnsi="Arial" w:cs="Arial"/>
          <w:bCs/>
          <w:lang w:val="ca-ES"/>
        </w:rPr>
        <w:t xml:space="preserve">The Banking Service Conditions (hereinafter the BSC) apply to this Agreement and form an integral part hereof. The Banking Service Conditions are available both in the Bank's offices and on the Bank's official website at </w:t>
      </w:r>
      <w:hyperlink r:id="rId12" w:history="1">
        <w:r w:rsidRPr="00264A3D">
          <w:rPr>
            <w:rStyle w:val="Hyperlink"/>
            <w:rFonts w:ascii="Arial" w:hAnsi="Arial" w:cs="Arial"/>
            <w:bCs/>
            <w:lang w:val="ca-ES"/>
          </w:rPr>
          <w:t>www.procreditbank.ge</w:t>
        </w:r>
      </w:hyperlink>
      <w:r w:rsidRPr="00264A3D">
        <w:rPr>
          <w:rFonts w:ascii="Arial" w:hAnsi="Arial" w:cs="Arial"/>
          <w:bCs/>
          <w:lang w:val="ca-ES"/>
        </w:rPr>
        <w:t xml:space="preserve">. The </w:t>
      </w:r>
      <w:r w:rsidR="00665C66" w:rsidRPr="00264A3D">
        <w:rPr>
          <w:rFonts w:ascii="Arial" w:hAnsi="Arial" w:cs="Arial"/>
          <w:bCs/>
          <w:lang w:val="ca-ES"/>
        </w:rPr>
        <w:t>Contractor</w:t>
      </w:r>
      <w:r w:rsidRPr="00264A3D">
        <w:rPr>
          <w:rFonts w:ascii="Arial" w:hAnsi="Arial" w:cs="Arial"/>
          <w:bCs/>
          <w:lang w:val="ca-ES"/>
        </w:rPr>
        <w:t xml:space="preserve"> hereby confirms to have read the BSC, </w:t>
      </w:r>
      <w:r w:rsidR="00ED5EEF" w:rsidRPr="00264A3D">
        <w:rPr>
          <w:rFonts w:ascii="Arial" w:hAnsi="Arial" w:cs="Arial"/>
          <w:bCs/>
          <w:lang w:val="ca-ES"/>
        </w:rPr>
        <w:t>approves</w:t>
      </w:r>
      <w:r w:rsidRPr="00264A3D">
        <w:rPr>
          <w:rFonts w:ascii="Arial" w:hAnsi="Arial" w:cs="Arial"/>
          <w:bCs/>
          <w:lang w:val="ca-ES"/>
        </w:rPr>
        <w:t xml:space="preserve"> and undertakes to fulfill them.</w:t>
      </w:r>
    </w:p>
    <w:p w14:paraId="7236D479" w14:textId="77777777" w:rsidR="00ED5EEF" w:rsidRPr="00264A3D" w:rsidRDefault="00ED5EEF" w:rsidP="00ED5EEF">
      <w:pPr>
        <w:pStyle w:val="Header"/>
        <w:numPr>
          <w:ilvl w:val="0"/>
          <w:numId w:val="40"/>
        </w:numPr>
        <w:spacing w:before="60" w:after="60" w:line="288" w:lineRule="auto"/>
        <w:jc w:val="both"/>
        <w:rPr>
          <w:rFonts w:ascii="Arial" w:hAnsi="Arial" w:cs="Arial"/>
          <w:bCs/>
          <w:lang w:val="ca-ES"/>
        </w:rPr>
      </w:pPr>
      <w:r w:rsidRPr="00264A3D">
        <w:rPr>
          <w:rFonts w:ascii="Arial" w:hAnsi="Arial" w:cs="Arial"/>
          <w:bCs/>
          <w:lang w:val="ca-ES"/>
        </w:rPr>
        <w:t>The Bank reserves the right to change the deposit interest rate or other terms of the agreement repeatedly and unilaterally at any time during the term of the agreement if the market conditions change significantly; or legislative and/or other changes are made that will worsen the Bank's position; or the monetary policy rate changes significantly, which will affect the deposit price; or the deposit value changes and is no longer profitable for the Bank; or the deposit poses a threat to the bank 's financial stability; or if the deposit interest rate and/or other conditions are no longer in line with the Bank’s current policy.</w:t>
      </w:r>
    </w:p>
    <w:p w14:paraId="7BE4FFD7" w14:textId="77777777" w:rsidR="00ED5EEF" w:rsidRPr="00DE7F3B" w:rsidRDefault="00ED5EEF" w:rsidP="00ED5EEF">
      <w:pPr>
        <w:pStyle w:val="Header"/>
        <w:numPr>
          <w:ilvl w:val="0"/>
          <w:numId w:val="40"/>
        </w:numPr>
        <w:spacing w:before="60" w:after="60" w:line="288" w:lineRule="auto"/>
        <w:jc w:val="both"/>
        <w:rPr>
          <w:rFonts w:ascii="Arial" w:hAnsi="Arial" w:cs="Arial"/>
          <w:bCs/>
          <w:lang w:val="ca-ES"/>
        </w:rPr>
      </w:pPr>
      <w:r w:rsidRPr="00264A3D">
        <w:rPr>
          <w:rFonts w:ascii="Arial" w:hAnsi="Arial" w:cs="Arial"/>
          <w:bCs/>
          <w:lang w:val="ca-ES"/>
        </w:rPr>
        <w:t>In case of changes to the essential terms and conditions of this Agreement, the Bank shall notify the customer no less than 2 (two) months before the change, and in case of increase in the price of another</w:t>
      </w:r>
      <w:r w:rsidRPr="00284292">
        <w:rPr>
          <w:rFonts w:ascii="Arial" w:hAnsi="Arial" w:cs="Arial"/>
          <w:bCs/>
          <w:lang w:val="ca-ES"/>
        </w:rPr>
        <w:t xml:space="preserve"> </w:t>
      </w:r>
      <w:r w:rsidRPr="00DE7F3B">
        <w:rPr>
          <w:rFonts w:ascii="Arial" w:hAnsi="Arial" w:cs="Arial"/>
          <w:bCs/>
          <w:lang w:val="ca-ES"/>
        </w:rPr>
        <w:lastRenderedPageBreak/>
        <w:t xml:space="preserve">financial product – no less than one month before the increase, in writing or via email or Internet Banking or short text message or telephone call. </w:t>
      </w:r>
    </w:p>
    <w:p w14:paraId="39CEFC5F" w14:textId="05749A35" w:rsidR="00ED5EEF" w:rsidRPr="00DE7F3B" w:rsidRDefault="00ED5EEF" w:rsidP="00ED5EEF">
      <w:pPr>
        <w:pStyle w:val="Header"/>
        <w:numPr>
          <w:ilvl w:val="0"/>
          <w:numId w:val="40"/>
        </w:numPr>
        <w:spacing w:before="60" w:after="60" w:line="288" w:lineRule="auto"/>
        <w:jc w:val="both"/>
        <w:rPr>
          <w:rFonts w:ascii="Arial" w:hAnsi="Arial" w:cs="Arial"/>
          <w:bCs/>
          <w:lang w:val="ca-ES"/>
        </w:rPr>
      </w:pPr>
      <w:r w:rsidRPr="00DE7F3B">
        <w:rPr>
          <w:rFonts w:ascii="Arial" w:hAnsi="Arial" w:cs="Arial"/>
          <w:bCs/>
          <w:lang w:val="ca-ES"/>
        </w:rPr>
        <w:t xml:space="preserve">In case of dissatisfaction or remark, the </w:t>
      </w:r>
      <w:r w:rsidR="00665C66" w:rsidRPr="00DE7F3B">
        <w:rPr>
          <w:rFonts w:ascii="Arial" w:hAnsi="Arial" w:cs="Arial"/>
          <w:bCs/>
          <w:lang w:val="ca-ES"/>
        </w:rPr>
        <w:t>Contractor</w:t>
      </w:r>
      <w:r w:rsidRPr="00DE7F3B">
        <w:rPr>
          <w:rFonts w:ascii="Arial" w:hAnsi="Arial" w:cs="Arial"/>
          <w:bCs/>
          <w:lang w:val="ca-ES"/>
        </w:rPr>
        <w:t xml:space="preserve"> may file a compliant orally, in free written, standard written or electronic form. Complaints can also be filed by filling out a complaint form (available at the Bank's offices) or by registering a complaint form on the Bank's official website at  </w:t>
      </w:r>
      <w:hyperlink r:id="rId13" w:history="1">
        <w:r w:rsidRPr="00DE7F3B">
          <w:rPr>
            <w:rStyle w:val="Hyperlink"/>
            <w:rFonts w:ascii="Arial" w:hAnsi="Arial" w:cs="Arial"/>
            <w:bCs/>
            <w:lang w:val="ca-ES"/>
          </w:rPr>
          <w:t>www.procreditbank.ge</w:t>
        </w:r>
      </w:hyperlink>
      <w:r w:rsidRPr="00DE7F3B">
        <w:rPr>
          <w:rFonts w:ascii="Arial" w:hAnsi="Arial" w:cs="Arial"/>
          <w:bCs/>
          <w:lang w:val="ca-ES"/>
        </w:rPr>
        <w:t xml:space="preserve"> or by applying other grievance mechanisms provided by law. Complaints are reviewed by the structural unit responsible for protecting the customer rights at the Bank</w:t>
      </w:r>
      <w:r w:rsidR="00111F69" w:rsidRPr="00DE7F3B">
        <w:rPr>
          <w:rFonts w:ascii="Arial" w:hAnsi="Arial" w:cs="Arial"/>
          <w:bCs/>
          <w:lang w:val="ca-ES"/>
        </w:rPr>
        <w:t>. Complaints are responded to</w:t>
      </w:r>
      <w:r w:rsidRPr="00DE7F3B">
        <w:rPr>
          <w:rFonts w:ascii="Arial" w:hAnsi="Arial" w:cs="Arial"/>
          <w:bCs/>
          <w:lang w:val="ca-ES"/>
        </w:rPr>
        <w:t xml:space="preserve"> within no more than 1 (one) month from the receipt.</w:t>
      </w:r>
    </w:p>
    <w:p w14:paraId="7AB7A4B6" w14:textId="2930400D" w:rsidR="00ED5EEF" w:rsidRPr="00DE7F3B" w:rsidRDefault="008B1F5A" w:rsidP="00ED5EEF">
      <w:pPr>
        <w:pStyle w:val="Header"/>
        <w:numPr>
          <w:ilvl w:val="0"/>
          <w:numId w:val="40"/>
        </w:numPr>
        <w:spacing w:before="60" w:after="60" w:line="288" w:lineRule="auto"/>
        <w:jc w:val="both"/>
        <w:rPr>
          <w:rFonts w:ascii="Arial" w:hAnsi="Arial" w:cs="Arial"/>
          <w:bCs/>
          <w:lang w:val="ca-ES"/>
        </w:rPr>
      </w:pPr>
      <w:r w:rsidRPr="00DE7F3B">
        <w:rPr>
          <w:rFonts w:ascii="Arial" w:hAnsi="Arial" w:cs="Arial"/>
          <w:bCs/>
          <w:lang w:val="ca-ES"/>
        </w:rPr>
        <w:t>This A</w:t>
      </w:r>
      <w:r w:rsidRPr="00DE7F3B">
        <w:rPr>
          <w:rFonts w:ascii="Arial" w:hAnsi="Arial" w:cs="Arial"/>
          <w:lang w:val="ca-ES"/>
        </w:rPr>
        <w:t>greement</w:t>
      </w:r>
      <w:r w:rsidRPr="00DE7F3B">
        <w:rPr>
          <w:rFonts w:ascii="Arial" w:hAnsi="Arial" w:cs="Arial"/>
          <w:bCs/>
          <w:lang w:val="ca-ES"/>
        </w:rPr>
        <w:t> is </w:t>
      </w:r>
      <w:r w:rsidRPr="00DE7F3B">
        <w:rPr>
          <w:rFonts w:ascii="Arial" w:hAnsi="Arial" w:cs="Arial"/>
          <w:lang w:val="ca-ES"/>
        </w:rPr>
        <w:t>made</w:t>
      </w:r>
      <w:r w:rsidRPr="00DE7F3B">
        <w:rPr>
          <w:rFonts w:ascii="Arial" w:hAnsi="Arial" w:cs="Arial"/>
          <w:bCs/>
          <w:lang w:val="ca-ES"/>
        </w:rPr>
        <w:t> in </w:t>
      </w:r>
      <w:r w:rsidRPr="00DE7F3B">
        <w:rPr>
          <w:rFonts w:ascii="Arial" w:hAnsi="Arial" w:cs="Arial"/>
          <w:lang w:val="ca-ES"/>
        </w:rPr>
        <w:t>duplicate</w:t>
      </w:r>
      <w:r w:rsidRPr="00DE7F3B">
        <w:rPr>
          <w:rFonts w:ascii="Arial" w:hAnsi="Arial" w:cs="Arial"/>
          <w:bCs/>
          <w:lang w:val="ca-ES"/>
        </w:rPr>
        <w:t>, one </w:t>
      </w:r>
      <w:r w:rsidRPr="00DE7F3B">
        <w:rPr>
          <w:rFonts w:ascii="Arial" w:hAnsi="Arial" w:cs="Arial"/>
          <w:lang w:val="ca-ES"/>
        </w:rPr>
        <w:t>copy</w:t>
      </w:r>
      <w:r w:rsidRPr="00DE7F3B">
        <w:rPr>
          <w:rFonts w:ascii="Arial" w:hAnsi="Arial" w:cs="Arial"/>
          <w:bCs/>
          <w:lang w:val="ca-ES"/>
        </w:rPr>
        <w:t> for </w:t>
      </w:r>
      <w:r w:rsidRPr="00DE7F3B">
        <w:rPr>
          <w:rFonts w:ascii="Arial" w:hAnsi="Arial" w:cs="Arial"/>
          <w:lang w:val="ca-ES"/>
        </w:rPr>
        <w:t>each</w:t>
      </w:r>
      <w:r w:rsidRPr="00DE7F3B">
        <w:rPr>
          <w:rFonts w:ascii="Arial" w:hAnsi="Arial" w:cs="Arial"/>
          <w:bCs/>
          <w:lang w:val="ca-ES"/>
        </w:rPr>
        <w:t> party and </w:t>
      </w:r>
      <w:r w:rsidRPr="00DE7F3B">
        <w:rPr>
          <w:rFonts w:ascii="Arial" w:hAnsi="Arial" w:cs="Arial"/>
          <w:lang w:val="ca-ES"/>
        </w:rPr>
        <w:t>each copy</w:t>
      </w:r>
      <w:r w:rsidRPr="00DE7F3B">
        <w:rPr>
          <w:rFonts w:ascii="Arial" w:hAnsi="Arial" w:cs="Arial"/>
          <w:bCs/>
          <w:lang w:val="ca-ES"/>
        </w:rPr>
        <w:t> bearing the </w:t>
      </w:r>
      <w:r w:rsidRPr="00DE7F3B">
        <w:rPr>
          <w:rFonts w:ascii="Arial" w:hAnsi="Arial" w:cs="Arial"/>
          <w:lang w:val="ca-ES"/>
        </w:rPr>
        <w:t>same legal</w:t>
      </w:r>
      <w:r w:rsidRPr="00DE7F3B">
        <w:rPr>
          <w:rFonts w:ascii="Arial" w:hAnsi="Arial" w:cs="Arial"/>
          <w:bCs/>
          <w:lang w:val="ca-ES"/>
        </w:rPr>
        <w:t> effect</w:t>
      </w:r>
      <w:r w:rsidR="00ED5EEF" w:rsidRPr="00DE7F3B">
        <w:rPr>
          <w:rFonts w:ascii="Arial" w:hAnsi="Arial" w:cs="Arial"/>
          <w:bCs/>
          <w:lang w:val="ca-ES"/>
        </w:rPr>
        <w:t>.</w:t>
      </w:r>
    </w:p>
    <w:sectPr w:rsidR="00ED5EEF" w:rsidRPr="00DE7F3B" w:rsidSect="00317F4D">
      <w:headerReference w:type="default" r:id="rId14"/>
      <w:headerReference w:type="first" r:id="rId15"/>
      <w:footerReference w:type="first" r:id="rId16"/>
      <w:pgSz w:w="11907" w:h="16840" w:code="9"/>
      <w:pgMar w:top="567" w:right="567" w:bottom="567" w:left="567" w:header="142"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C6E3" w14:textId="77777777" w:rsidR="00B72EFD" w:rsidRDefault="00B72EFD" w:rsidP="002A4EB5">
      <w:pPr>
        <w:spacing w:after="0" w:line="240" w:lineRule="auto"/>
      </w:pPr>
      <w:r>
        <w:separator/>
      </w:r>
    </w:p>
  </w:endnote>
  <w:endnote w:type="continuationSeparator" w:id="0">
    <w:p w14:paraId="6D002A25" w14:textId="77777777" w:rsidR="00B72EFD" w:rsidRDefault="00B72EFD" w:rsidP="002A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C4BB" w14:textId="6CDEB497" w:rsidR="00416F12" w:rsidRDefault="00416F12">
    <w:pPr>
      <w:pStyle w:val="Footer"/>
      <w:rPr>
        <w:b/>
        <w:bCs/>
      </w:rPr>
    </w:pPr>
    <w:r>
      <w:rPr>
        <w:b/>
        <w:bCs/>
      </w:rPr>
      <w:t xml:space="preserve">The Bank                                                                                    </w:t>
    </w:r>
    <w:proofErr w:type="gramStart"/>
    <w:r>
      <w:rPr>
        <w:b/>
        <w:bCs/>
      </w:rPr>
      <w:t>The</w:t>
    </w:r>
    <w:proofErr w:type="gramEnd"/>
    <w:r>
      <w:rPr>
        <w:b/>
        <w:bCs/>
      </w:rPr>
      <w:t xml:space="preserve"> Contractor</w:t>
    </w:r>
  </w:p>
  <w:p w14:paraId="0379EFCE" w14:textId="3986DEAA" w:rsidR="00416F12" w:rsidRDefault="00416F12">
    <w:pPr>
      <w:pStyle w:val="Footer"/>
    </w:pPr>
    <w:r>
      <w:rPr>
        <w:b/>
        <w:bCs/>
      </w:rPr>
      <w:t xml:space="preserve">_______________________    </w:t>
    </w:r>
    <w:r>
      <w:rPr>
        <w:b/>
        <w:bCs/>
        <w:sz w:val="18"/>
        <w:szCs w:val="18"/>
      </w:rPr>
      <w:t>Signature</w:t>
    </w:r>
    <w:r>
      <w:t xml:space="preserve">                                </w:t>
    </w:r>
    <w:r>
      <w:rPr>
        <w:b/>
        <w:bCs/>
      </w:rPr>
      <w:t xml:space="preserve">_______________________    </w:t>
    </w:r>
    <w:proofErr w:type="spellStart"/>
    <w:r>
      <w:rPr>
        <w:b/>
        <w:bCs/>
        <w:sz w:val="18"/>
        <w:szCs w:val="18"/>
      </w:rPr>
      <w:t>Signature</w:t>
    </w:r>
    <w:proofErr w:type="spellEnd"/>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6F58" w14:textId="77777777" w:rsidR="00B72EFD" w:rsidRDefault="00B72EFD" w:rsidP="002A4EB5">
      <w:pPr>
        <w:spacing w:after="0" w:line="240" w:lineRule="auto"/>
      </w:pPr>
      <w:r>
        <w:separator/>
      </w:r>
    </w:p>
  </w:footnote>
  <w:footnote w:type="continuationSeparator" w:id="0">
    <w:p w14:paraId="0D3340CE" w14:textId="77777777" w:rsidR="00B72EFD" w:rsidRDefault="00B72EFD" w:rsidP="002A4EB5">
      <w:pPr>
        <w:spacing w:after="0" w:line="240" w:lineRule="auto"/>
      </w:pPr>
      <w:r>
        <w:continuationSeparator/>
      </w:r>
    </w:p>
  </w:footnote>
  <w:footnote w:id="1">
    <w:p w14:paraId="31629B07" w14:textId="32B2CFCB" w:rsidR="0098307B" w:rsidRPr="00284292" w:rsidRDefault="0098307B">
      <w:pPr>
        <w:pStyle w:val="FootnoteText"/>
        <w:rPr>
          <w:rFonts w:ascii="Arial" w:hAnsi="Arial" w:cs="Arial"/>
        </w:rPr>
      </w:pPr>
      <w:r w:rsidRPr="00284292">
        <w:rPr>
          <w:rStyle w:val="FootnoteReference"/>
          <w:rFonts w:ascii="Arial" w:hAnsi="Arial" w:cs="Arial"/>
        </w:rPr>
        <w:footnoteRef/>
      </w:r>
      <w:r w:rsidRPr="00284292">
        <w:rPr>
          <w:rFonts w:ascii="Arial" w:hAnsi="Arial" w:cs="Arial"/>
        </w:rPr>
        <w:t xml:space="preserve"> </w:t>
      </w:r>
      <w:r w:rsidRPr="00284292">
        <w:rPr>
          <w:rFonts w:ascii="Arial" w:hAnsi="Arial" w:cs="Arial"/>
          <w:sz w:val="18"/>
          <w:szCs w:val="18"/>
        </w:rPr>
        <w:t xml:space="preserve">The provisions in red </w:t>
      </w:r>
      <w:proofErr w:type="spellStart"/>
      <w:r w:rsidRPr="00284292">
        <w:rPr>
          <w:rFonts w:ascii="Arial" w:hAnsi="Arial" w:cs="Arial"/>
          <w:sz w:val="18"/>
          <w:szCs w:val="18"/>
        </w:rPr>
        <w:t>colour</w:t>
      </w:r>
      <w:proofErr w:type="spellEnd"/>
      <w:r w:rsidRPr="00284292">
        <w:rPr>
          <w:rFonts w:ascii="Arial" w:hAnsi="Arial" w:cs="Arial"/>
          <w:sz w:val="18"/>
          <w:szCs w:val="18"/>
        </w:rPr>
        <w:t xml:space="preserve"> refer only to foreign currency deposits</w:t>
      </w:r>
      <w:r w:rsidRPr="00284292">
        <w:rPr>
          <w:rFonts w:ascii="Arial" w:hAnsi="Arial" w:cs="Arial"/>
        </w:rPr>
        <w:t xml:space="preserve">. </w:t>
      </w:r>
    </w:p>
  </w:footnote>
  <w:footnote w:id="2">
    <w:p w14:paraId="185B3DF0" w14:textId="77777777" w:rsidR="006C3F22" w:rsidRPr="00284292" w:rsidRDefault="006C3F22" w:rsidP="006C3F22">
      <w:pPr>
        <w:pStyle w:val="FootnoteText"/>
        <w:rPr>
          <w:rFonts w:ascii="Arial" w:hAnsi="Arial" w:cs="Arial"/>
        </w:rPr>
      </w:pPr>
      <w:r w:rsidRPr="00284292">
        <w:rPr>
          <w:rStyle w:val="FootnoteReference"/>
          <w:rFonts w:ascii="Arial" w:hAnsi="Arial" w:cs="Arial"/>
        </w:rPr>
        <w:footnoteRef/>
      </w:r>
      <w:r w:rsidRPr="00284292">
        <w:rPr>
          <w:rFonts w:ascii="Arial" w:hAnsi="Arial" w:cs="Arial"/>
        </w:rPr>
        <w:t xml:space="preserve"> </w:t>
      </w:r>
      <w:r w:rsidRPr="00284292">
        <w:rPr>
          <w:rFonts w:ascii="Arial" w:hAnsi="Arial" w:cs="Arial"/>
          <w:sz w:val="18"/>
          <w:szCs w:val="18"/>
        </w:rPr>
        <w:t xml:space="preserve">The provisions in red </w:t>
      </w:r>
      <w:proofErr w:type="spellStart"/>
      <w:r w:rsidRPr="00284292">
        <w:rPr>
          <w:rFonts w:ascii="Arial" w:hAnsi="Arial" w:cs="Arial"/>
          <w:sz w:val="18"/>
          <w:szCs w:val="18"/>
        </w:rPr>
        <w:t>colour</w:t>
      </w:r>
      <w:proofErr w:type="spellEnd"/>
      <w:r w:rsidRPr="00284292">
        <w:rPr>
          <w:rFonts w:ascii="Arial" w:hAnsi="Arial" w:cs="Arial"/>
          <w:sz w:val="18"/>
          <w:szCs w:val="18"/>
        </w:rPr>
        <w:t xml:space="preserve"> refer only to foreign currency deposits</w:t>
      </w:r>
      <w:r w:rsidRPr="0028429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971"/>
    </w:tblGrid>
    <w:tr w:rsidR="000E2FB1" w14:paraId="03132C14" w14:textId="77777777" w:rsidTr="009E3F81">
      <w:tc>
        <w:tcPr>
          <w:tcW w:w="7792" w:type="dxa"/>
        </w:tcPr>
        <w:p w14:paraId="76447DBC" w14:textId="77777777" w:rsidR="000E2FB1" w:rsidRDefault="000E2FB1" w:rsidP="000E2FB1">
          <w:pPr>
            <w:pStyle w:val="Header"/>
            <w:tabs>
              <w:tab w:val="clear" w:pos="4680"/>
            </w:tabs>
          </w:pPr>
          <w:r>
            <w:rPr>
              <w:rFonts w:ascii="Sylfaen" w:hAnsi="Sylfaen" w:cs="Sylfaen"/>
              <w:sz w:val="20"/>
              <w:szCs w:val="20"/>
            </w:rPr>
            <w:t>JSC ProCredit Bank</w:t>
          </w:r>
          <w:r w:rsidRPr="000F5F1E">
            <w:rPr>
              <w:rFonts w:ascii="Sylfaen" w:hAnsi="Sylfaen" w:cs="Sylfaen"/>
              <w:sz w:val="20"/>
              <w:szCs w:val="20"/>
              <w:lang w:val="ka-GE"/>
            </w:rPr>
            <w:t xml:space="preserve"> </w:t>
          </w:r>
          <w:r w:rsidRPr="000F5F1E">
            <w:rPr>
              <w:rFonts w:ascii="Sylfaen" w:hAnsi="Sylfaen" w:cs="Sylfaen"/>
              <w:sz w:val="20"/>
              <w:szCs w:val="20"/>
              <w:lang w:val="ka-GE"/>
            </w:rPr>
            <w:t>(</w:t>
          </w:r>
          <w:r>
            <w:rPr>
              <w:rFonts w:ascii="Sylfaen" w:hAnsi="Sylfaen" w:cs="Sylfaen"/>
              <w:sz w:val="20"/>
              <w:szCs w:val="20"/>
            </w:rPr>
            <w:t>ID No</w:t>
          </w:r>
          <w:r w:rsidRPr="000F5F1E">
            <w:rPr>
              <w:rFonts w:ascii="Sylfaen" w:hAnsi="Sylfaen" w:cs="Sylfaen"/>
              <w:sz w:val="20"/>
              <w:szCs w:val="20"/>
              <w:lang w:val="ka-GE"/>
            </w:rPr>
            <w:t xml:space="preserve"> 204851197), </w:t>
          </w:r>
          <w:r>
            <w:rPr>
              <w:rFonts w:ascii="Sylfaen" w:hAnsi="Sylfaen" w:cs="Sylfaen"/>
              <w:sz w:val="20"/>
              <w:szCs w:val="20"/>
            </w:rPr>
            <w:t>National Bank License</w:t>
          </w:r>
          <w:r w:rsidRPr="000F5F1E">
            <w:rPr>
              <w:rFonts w:ascii="Sylfaen" w:hAnsi="Sylfaen" w:cs="Sylfaen"/>
              <w:sz w:val="20"/>
              <w:szCs w:val="20"/>
              <w:lang w:val="ka-GE"/>
            </w:rPr>
            <w:t xml:space="preserve"> N</w:t>
          </w:r>
          <w:r>
            <w:rPr>
              <w:rFonts w:ascii="Sylfaen" w:hAnsi="Sylfaen" w:cs="Sylfaen"/>
              <w:sz w:val="20"/>
              <w:szCs w:val="20"/>
            </w:rPr>
            <w:t>o</w:t>
          </w:r>
          <w:r w:rsidRPr="000F5F1E">
            <w:rPr>
              <w:rFonts w:ascii="Sylfaen" w:hAnsi="Sylfaen" w:cs="Sylfaen"/>
              <w:sz w:val="20"/>
              <w:szCs w:val="20"/>
              <w:lang w:val="ka-GE"/>
            </w:rPr>
            <w:t xml:space="preserve"> 000076,</w:t>
          </w:r>
          <w:r w:rsidRPr="000F5F1E">
            <w:t xml:space="preserve"> </w:t>
          </w:r>
          <w:r>
            <w:rPr>
              <w:rFonts w:ascii="Sylfaen" w:hAnsi="Sylfaen" w:cs="Sylfaen"/>
              <w:sz w:val="20"/>
              <w:szCs w:val="20"/>
            </w:rPr>
            <w:t>telephone/fax</w:t>
          </w:r>
          <w:r w:rsidRPr="000F5F1E">
            <w:rPr>
              <w:rFonts w:ascii="Sylfaen" w:hAnsi="Sylfaen" w:cs="Sylfaen"/>
              <w:sz w:val="20"/>
              <w:szCs w:val="20"/>
              <w:lang w:val="ka-GE"/>
            </w:rPr>
            <w:t>:(+99</w:t>
          </w:r>
          <w:r>
            <w:rPr>
              <w:rFonts w:ascii="Sylfaen" w:hAnsi="Sylfaen" w:cs="Sylfaen"/>
              <w:sz w:val="20"/>
              <w:szCs w:val="20"/>
              <w:lang w:val="ka-GE"/>
            </w:rPr>
            <w:t>5 32) 2202222</w:t>
          </w:r>
          <w:proofErr w:type="gramStart"/>
          <w:r>
            <w:rPr>
              <w:rFonts w:ascii="Sylfaen" w:hAnsi="Sylfaen" w:cs="Sylfaen"/>
              <w:sz w:val="20"/>
              <w:szCs w:val="20"/>
              <w:lang w:val="ka-GE"/>
            </w:rPr>
            <w:t>/(</w:t>
          </w:r>
          <w:proofErr w:type="gramEnd"/>
          <w:r>
            <w:rPr>
              <w:rFonts w:ascii="Sylfaen" w:hAnsi="Sylfaen" w:cs="Sylfaen"/>
              <w:sz w:val="20"/>
              <w:szCs w:val="20"/>
              <w:lang w:val="ka-GE"/>
            </w:rPr>
            <w:t>+995 32) 2202223</w:t>
          </w:r>
          <w:r>
            <w:rPr>
              <w:rFonts w:ascii="Sylfaen" w:hAnsi="Sylfaen" w:cs="Sylfaen"/>
              <w:sz w:val="20"/>
              <w:szCs w:val="20"/>
            </w:rPr>
            <w:t>.</w:t>
          </w:r>
        </w:p>
        <w:p w14:paraId="3C988D7B" w14:textId="77777777" w:rsidR="000E2FB1" w:rsidRDefault="000E2FB1" w:rsidP="000E2FB1">
          <w:pPr>
            <w:pStyle w:val="Header"/>
          </w:pPr>
        </w:p>
      </w:tc>
      <w:tc>
        <w:tcPr>
          <w:tcW w:w="2971" w:type="dxa"/>
        </w:tcPr>
        <w:p w14:paraId="43788F03" w14:textId="77777777" w:rsidR="000E2FB1" w:rsidRDefault="000E2FB1" w:rsidP="000E2FB1">
          <w:pPr>
            <w:pStyle w:val="Header"/>
          </w:pPr>
          <w:r>
            <w:rPr>
              <w:noProof/>
            </w:rPr>
            <w:drawing>
              <wp:inline distT="0" distB="0" distL="0" distR="0" wp14:anchorId="27D2D7B8" wp14:editId="5EAA7C84">
                <wp:extent cx="152400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42925"/>
                        </a:xfrm>
                        <a:prstGeom prst="rect">
                          <a:avLst/>
                        </a:prstGeom>
                        <a:noFill/>
                        <a:ln>
                          <a:noFill/>
                        </a:ln>
                      </pic:spPr>
                    </pic:pic>
                  </a:graphicData>
                </a:graphic>
              </wp:inline>
            </w:drawing>
          </w:r>
        </w:p>
      </w:tc>
    </w:tr>
  </w:tbl>
  <w:p w14:paraId="26C15DBB" w14:textId="77777777" w:rsidR="008B56FC" w:rsidRDefault="008B5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6723" w14:textId="77777777" w:rsidR="000E2FB1" w:rsidRDefault="000E2FB1" w:rsidP="0098307B">
    <w:pPr>
      <w:pStyle w:val="Header"/>
      <w:tabs>
        <w:tab w:val="clear" w:pos="4680"/>
      </w:tabs>
      <w:rPr>
        <w:rFonts w:ascii="Sylfaen" w:hAnsi="Sylfaen"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971"/>
    </w:tblGrid>
    <w:tr w:rsidR="000E2FB1" w14:paraId="465F1CC9" w14:textId="77777777" w:rsidTr="000E2FB1">
      <w:tc>
        <w:tcPr>
          <w:tcW w:w="7792" w:type="dxa"/>
        </w:tcPr>
        <w:p w14:paraId="019B7E48" w14:textId="77777777" w:rsidR="000E2FB1" w:rsidRDefault="000E2FB1" w:rsidP="000E2FB1">
          <w:pPr>
            <w:pStyle w:val="Header"/>
            <w:tabs>
              <w:tab w:val="clear" w:pos="4680"/>
            </w:tabs>
          </w:pPr>
          <w:r>
            <w:rPr>
              <w:rFonts w:ascii="Sylfaen" w:hAnsi="Sylfaen" w:cs="Sylfaen"/>
              <w:sz w:val="20"/>
              <w:szCs w:val="20"/>
            </w:rPr>
            <w:t>JSC ProCredit Bank</w:t>
          </w:r>
          <w:r w:rsidRPr="000F5F1E">
            <w:rPr>
              <w:rFonts w:ascii="Sylfaen" w:hAnsi="Sylfaen" w:cs="Sylfaen"/>
              <w:sz w:val="20"/>
              <w:szCs w:val="20"/>
              <w:lang w:val="ka-GE"/>
            </w:rPr>
            <w:t xml:space="preserve"> </w:t>
          </w:r>
          <w:r w:rsidRPr="000F5F1E">
            <w:rPr>
              <w:rFonts w:ascii="Sylfaen" w:hAnsi="Sylfaen" w:cs="Sylfaen"/>
              <w:sz w:val="20"/>
              <w:szCs w:val="20"/>
              <w:lang w:val="ka-GE"/>
            </w:rPr>
            <w:t>(</w:t>
          </w:r>
          <w:r>
            <w:rPr>
              <w:rFonts w:ascii="Sylfaen" w:hAnsi="Sylfaen" w:cs="Sylfaen"/>
              <w:sz w:val="20"/>
              <w:szCs w:val="20"/>
            </w:rPr>
            <w:t>ID No</w:t>
          </w:r>
          <w:r w:rsidRPr="000F5F1E">
            <w:rPr>
              <w:rFonts w:ascii="Sylfaen" w:hAnsi="Sylfaen" w:cs="Sylfaen"/>
              <w:sz w:val="20"/>
              <w:szCs w:val="20"/>
              <w:lang w:val="ka-GE"/>
            </w:rPr>
            <w:t xml:space="preserve"> 204851197), </w:t>
          </w:r>
          <w:r>
            <w:rPr>
              <w:rFonts w:ascii="Sylfaen" w:hAnsi="Sylfaen" w:cs="Sylfaen"/>
              <w:sz w:val="20"/>
              <w:szCs w:val="20"/>
            </w:rPr>
            <w:t>National Bank License</w:t>
          </w:r>
          <w:r w:rsidRPr="000F5F1E">
            <w:rPr>
              <w:rFonts w:ascii="Sylfaen" w:hAnsi="Sylfaen" w:cs="Sylfaen"/>
              <w:sz w:val="20"/>
              <w:szCs w:val="20"/>
              <w:lang w:val="ka-GE"/>
            </w:rPr>
            <w:t xml:space="preserve"> N</w:t>
          </w:r>
          <w:r>
            <w:rPr>
              <w:rFonts w:ascii="Sylfaen" w:hAnsi="Sylfaen" w:cs="Sylfaen"/>
              <w:sz w:val="20"/>
              <w:szCs w:val="20"/>
            </w:rPr>
            <w:t>o</w:t>
          </w:r>
          <w:r w:rsidRPr="000F5F1E">
            <w:rPr>
              <w:rFonts w:ascii="Sylfaen" w:hAnsi="Sylfaen" w:cs="Sylfaen"/>
              <w:sz w:val="20"/>
              <w:szCs w:val="20"/>
              <w:lang w:val="ka-GE"/>
            </w:rPr>
            <w:t xml:space="preserve"> 000076,</w:t>
          </w:r>
          <w:r w:rsidRPr="000F5F1E">
            <w:t xml:space="preserve"> </w:t>
          </w:r>
          <w:r>
            <w:rPr>
              <w:rFonts w:ascii="Sylfaen" w:hAnsi="Sylfaen" w:cs="Sylfaen"/>
              <w:sz w:val="20"/>
              <w:szCs w:val="20"/>
            </w:rPr>
            <w:t>telephone/fax</w:t>
          </w:r>
          <w:r w:rsidRPr="000F5F1E">
            <w:rPr>
              <w:rFonts w:ascii="Sylfaen" w:hAnsi="Sylfaen" w:cs="Sylfaen"/>
              <w:sz w:val="20"/>
              <w:szCs w:val="20"/>
              <w:lang w:val="ka-GE"/>
            </w:rPr>
            <w:t>:(+99</w:t>
          </w:r>
          <w:r>
            <w:rPr>
              <w:rFonts w:ascii="Sylfaen" w:hAnsi="Sylfaen" w:cs="Sylfaen"/>
              <w:sz w:val="20"/>
              <w:szCs w:val="20"/>
              <w:lang w:val="ka-GE"/>
            </w:rPr>
            <w:t>5 32) 2202222</w:t>
          </w:r>
          <w:proofErr w:type="gramStart"/>
          <w:r>
            <w:rPr>
              <w:rFonts w:ascii="Sylfaen" w:hAnsi="Sylfaen" w:cs="Sylfaen"/>
              <w:sz w:val="20"/>
              <w:szCs w:val="20"/>
              <w:lang w:val="ka-GE"/>
            </w:rPr>
            <w:t>/(</w:t>
          </w:r>
          <w:proofErr w:type="gramEnd"/>
          <w:r>
            <w:rPr>
              <w:rFonts w:ascii="Sylfaen" w:hAnsi="Sylfaen" w:cs="Sylfaen"/>
              <w:sz w:val="20"/>
              <w:szCs w:val="20"/>
              <w:lang w:val="ka-GE"/>
            </w:rPr>
            <w:t>+995 32) 2202223</w:t>
          </w:r>
          <w:r>
            <w:rPr>
              <w:rFonts w:ascii="Sylfaen" w:hAnsi="Sylfaen" w:cs="Sylfaen"/>
              <w:sz w:val="20"/>
              <w:szCs w:val="20"/>
            </w:rPr>
            <w:t>.</w:t>
          </w:r>
        </w:p>
        <w:p w14:paraId="6B0CFC0C" w14:textId="77777777" w:rsidR="000E2FB1" w:rsidRDefault="000E2FB1">
          <w:pPr>
            <w:pStyle w:val="Header"/>
          </w:pPr>
        </w:p>
      </w:tc>
      <w:tc>
        <w:tcPr>
          <w:tcW w:w="2971" w:type="dxa"/>
        </w:tcPr>
        <w:p w14:paraId="6C2E46CD" w14:textId="1E060013" w:rsidR="000E2FB1" w:rsidRDefault="000E2FB1">
          <w:pPr>
            <w:pStyle w:val="Header"/>
          </w:pPr>
          <w:r>
            <w:rPr>
              <w:noProof/>
            </w:rPr>
            <w:drawing>
              <wp:inline distT="0" distB="0" distL="0" distR="0" wp14:anchorId="25BFBFEA" wp14:editId="76971B7A">
                <wp:extent cx="15240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42925"/>
                        </a:xfrm>
                        <a:prstGeom prst="rect">
                          <a:avLst/>
                        </a:prstGeom>
                        <a:noFill/>
                        <a:ln>
                          <a:noFill/>
                        </a:ln>
                      </pic:spPr>
                    </pic:pic>
                  </a:graphicData>
                </a:graphic>
              </wp:inline>
            </w:drawing>
          </w:r>
        </w:p>
      </w:tc>
    </w:tr>
  </w:tbl>
  <w:p w14:paraId="50135ECD" w14:textId="77777777" w:rsidR="0098307B" w:rsidRDefault="00983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F81"/>
      </v:shape>
    </w:pict>
  </w:numPicBullet>
  <w:abstractNum w:abstractNumId="0" w15:restartNumberingAfterBreak="0">
    <w:nsid w:val="00F20337"/>
    <w:multiLevelType w:val="hybridMultilevel"/>
    <w:tmpl w:val="C1D8F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B5B70"/>
    <w:multiLevelType w:val="hybridMultilevel"/>
    <w:tmpl w:val="37DC48B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3B31F97"/>
    <w:multiLevelType w:val="hybridMultilevel"/>
    <w:tmpl w:val="3006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269B6"/>
    <w:multiLevelType w:val="hybridMultilevel"/>
    <w:tmpl w:val="47EC9D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618F0"/>
    <w:multiLevelType w:val="hybridMultilevel"/>
    <w:tmpl w:val="39001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15:restartNumberingAfterBreak="0">
    <w:nsid w:val="08817334"/>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926241"/>
    <w:multiLevelType w:val="hybridMultilevel"/>
    <w:tmpl w:val="5110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F274B"/>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1B3CD3"/>
    <w:multiLevelType w:val="hybridMultilevel"/>
    <w:tmpl w:val="7C66CC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137055AA"/>
    <w:multiLevelType w:val="hybridMultilevel"/>
    <w:tmpl w:val="73FAB3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16904596"/>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4231E9"/>
    <w:multiLevelType w:val="hybridMultilevel"/>
    <w:tmpl w:val="8B7CABDE"/>
    <w:lvl w:ilvl="0" w:tplc="5394A4A2">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133D8"/>
    <w:multiLevelType w:val="hybridMultilevel"/>
    <w:tmpl w:val="C4C09AC0"/>
    <w:lvl w:ilvl="0" w:tplc="DC649FEC">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3" w15:restartNumberingAfterBreak="0">
    <w:nsid w:val="27842BEB"/>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75277D"/>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9B0F90"/>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3278E4"/>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4F320A"/>
    <w:multiLevelType w:val="hybridMultilevel"/>
    <w:tmpl w:val="CB5C2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30042"/>
    <w:multiLevelType w:val="multilevel"/>
    <w:tmpl w:val="EBF83D8C"/>
    <w:lvl w:ilvl="0">
      <w:start w:val="2"/>
      <w:numFmt w:val="decimal"/>
      <w:lvlText w:val="%1."/>
      <w:lvlJc w:val="left"/>
      <w:pPr>
        <w:ind w:left="360" w:hanging="360"/>
      </w:pPr>
      <w:rPr>
        <w:rFonts w:hint="default"/>
        <w:i/>
        <w:color w:val="auto"/>
      </w:rPr>
    </w:lvl>
    <w:lvl w:ilvl="1">
      <w:start w:val="1"/>
      <w:numFmt w:val="decimal"/>
      <w:lvlText w:val="%2."/>
      <w:lvlJc w:val="left"/>
      <w:pPr>
        <w:ind w:left="360" w:hanging="360"/>
      </w:pPr>
      <w:rPr>
        <w:rFonts w:ascii="Sylfaen" w:eastAsia="Calibri" w:hAnsi="Sylfaen" w:cs="Sylfaen"/>
        <w:i/>
        <w:color w:val="auto"/>
      </w:rPr>
    </w:lvl>
    <w:lvl w:ilvl="2">
      <w:start w:val="1"/>
      <w:numFmt w:val="decimal"/>
      <w:lvlText w:val="%1.%2.%3."/>
      <w:lvlJc w:val="left"/>
      <w:pPr>
        <w:ind w:left="1440" w:hanging="720"/>
      </w:pPr>
      <w:rPr>
        <w:rFonts w:hint="default"/>
        <w:i/>
        <w:color w:val="auto"/>
      </w:rPr>
    </w:lvl>
    <w:lvl w:ilvl="3">
      <w:start w:val="1"/>
      <w:numFmt w:val="decimal"/>
      <w:lvlText w:val="%1.%2.%3.%4."/>
      <w:lvlJc w:val="left"/>
      <w:pPr>
        <w:ind w:left="1800" w:hanging="720"/>
      </w:pPr>
      <w:rPr>
        <w:rFonts w:hint="default"/>
        <w:i/>
        <w:color w:val="auto"/>
      </w:rPr>
    </w:lvl>
    <w:lvl w:ilvl="4">
      <w:start w:val="1"/>
      <w:numFmt w:val="decimal"/>
      <w:lvlText w:val="%1.%2.%3.%4.%5."/>
      <w:lvlJc w:val="left"/>
      <w:pPr>
        <w:ind w:left="2160" w:hanging="720"/>
      </w:pPr>
      <w:rPr>
        <w:rFonts w:hint="default"/>
        <w:i/>
        <w:color w:val="auto"/>
      </w:rPr>
    </w:lvl>
    <w:lvl w:ilvl="5">
      <w:start w:val="1"/>
      <w:numFmt w:val="decimal"/>
      <w:lvlText w:val="%1.%2.%3.%4.%5.%6."/>
      <w:lvlJc w:val="left"/>
      <w:pPr>
        <w:ind w:left="2880" w:hanging="1080"/>
      </w:pPr>
      <w:rPr>
        <w:rFonts w:hint="default"/>
        <w:i/>
        <w:color w:val="auto"/>
      </w:rPr>
    </w:lvl>
    <w:lvl w:ilvl="6">
      <w:start w:val="1"/>
      <w:numFmt w:val="decimal"/>
      <w:lvlText w:val="%1.%2.%3.%4.%5.%6.%7."/>
      <w:lvlJc w:val="left"/>
      <w:pPr>
        <w:ind w:left="3240" w:hanging="1080"/>
      </w:pPr>
      <w:rPr>
        <w:rFonts w:hint="default"/>
        <w:i/>
        <w:color w:val="auto"/>
      </w:rPr>
    </w:lvl>
    <w:lvl w:ilvl="7">
      <w:start w:val="1"/>
      <w:numFmt w:val="decimal"/>
      <w:lvlText w:val="%1.%2.%3.%4.%5.%6.%7.%8."/>
      <w:lvlJc w:val="left"/>
      <w:pPr>
        <w:ind w:left="3600" w:hanging="1080"/>
      </w:pPr>
      <w:rPr>
        <w:rFonts w:hint="default"/>
        <w:i/>
        <w:color w:val="auto"/>
      </w:rPr>
    </w:lvl>
    <w:lvl w:ilvl="8">
      <w:start w:val="1"/>
      <w:numFmt w:val="decimal"/>
      <w:lvlText w:val="%1.%2.%3.%4.%5.%6.%7.%8.%9."/>
      <w:lvlJc w:val="left"/>
      <w:pPr>
        <w:ind w:left="4320" w:hanging="1440"/>
      </w:pPr>
      <w:rPr>
        <w:rFonts w:hint="default"/>
        <w:i/>
        <w:color w:val="auto"/>
      </w:rPr>
    </w:lvl>
  </w:abstractNum>
  <w:abstractNum w:abstractNumId="19" w15:restartNumberingAfterBreak="0">
    <w:nsid w:val="37A31751"/>
    <w:multiLevelType w:val="hybridMultilevel"/>
    <w:tmpl w:val="8CECD6A4"/>
    <w:lvl w:ilvl="0" w:tplc="53566F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48006C"/>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ED0956"/>
    <w:multiLevelType w:val="hybridMultilevel"/>
    <w:tmpl w:val="54F83AC8"/>
    <w:lvl w:ilvl="0" w:tplc="79809D20">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67C3D"/>
    <w:multiLevelType w:val="hybridMultilevel"/>
    <w:tmpl w:val="A7E8E79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B1D25"/>
    <w:multiLevelType w:val="hybridMultilevel"/>
    <w:tmpl w:val="5ED6A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320C5"/>
    <w:multiLevelType w:val="hybridMultilevel"/>
    <w:tmpl w:val="DFA6A22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9691819"/>
    <w:multiLevelType w:val="hybridMultilevel"/>
    <w:tmpl w:val="E1AC2430"/>
    <w:lvl w:ilvl="0" w:tplc="9F24BA70">
      <w:numFmt w:val="bullet"/>
      <w:lvlText w:val="-"/>
      <w:lvlJc w:val="left"/>
      <w:pPr>
        <w:ind w:left="461" w:hanging="360"/>
      </w:pPr>
      <w:rPr>
        <w:rFonts w:ascii="Arial Narrow" w:eastAsia="Calibri" w:hAnsi="Arial Narrow" w:cs="Aria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6" w15:restartNumberingAfterBreak="0">
    <w:nsid w:val="4A027E73"/>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5564B1"/>
    <w:multiLevelType w:val="hybridMultilevel"/>
    <w:tmpl w:val="3D82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D759E5"/>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5F5E48"/>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9C02DF"/>
    <w:multiLevelType w:val="hybridMultilevel"/>
    <w:tmpl w:val="93F23570"/>
    <w:lvl w:ilvl="0" w:tplc="60ECB014">
      <w:start w:val="1"/>
      <w:numFmt w:val="decimal"/>
      <w:lvlText w:val="%1."/>
      <w:lvlJc w:val="left"/>
      <w:pPr>
        <w:ind w:left="720" w:hanging="360"/>
      </w:pPr>
      <w:rPr>
        <w:rFonts w:ascii="Calibri"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13BD3"/>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F12D54"/>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3A6BCC"/>
    <w:multiLevelType w:val="multilevel"/>
    <w:tmpl w:val="9F4E0C2C"/>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981B2D"/>
    <w:multiLevelType w:val="hybridMultilevel"/>
    <w:tmpl w:val="C9C4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C6AEA"/>
    <w:multiLevelType w:val="hybridMultilevel"/>
    <w:tmpl w:val="8F9281D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52EA1"/>
    <w:multiLevelType w:val="hybridMultilevel"/>
    <w:tmpl w:val="02F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9761A"/>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D34178"/>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7B6881"/>
    <w:multiLevelType w:val="multilevel"/>
    <w:tmpl w:val="065687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C4155F"/>
    <w:multiLevelType w:val="hybridMultilevel"/>
    <w:tmpl w:val="E7DE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012081">
    <w:abstractNumId w:val="26"/>
  </w:num>
  <w:num w:numId="2" w16cid:durableId="375204549">
    <w:abstractNumId w:val="30"/>
  </w:num>
  <w:num w:numId="3" w16cid:durableId="435563594">
    <w:abstractNumId w:val="33"/>
  </w:num>
  <w:num w:numId="4" w16cid:durableId="1125655542">
    <w:abstractNumId w:val="6"/>
  </w:num>
  <w:num w:numId="5" w16cid:durableId="935282897">
    <w:abstractNumId w:val="34"/>
  </w:num>
  <w:num w:numId="6" w16cid:durableId="1461613745">
    <w:abstractNumId w:val="1"/>
  </w:num>
  <w:num w:numId="7" w16cid:durableId="1759524829">
    <w:abstractNumId w:val="8"/>
  </w:num>
  <w:num w:numId="8" w16cid:durableId="594241378">
    <w:abstractNumId w:val="9"/>
  </w:num>
  <w:num w:numId="9" w16cid:durableId="1524242891">
    <w:abstractNumId w:val="27"/>
  </w:num>
  <w:num w:numId="10" w16cid:durableId="672955996">
    <w:abstractNumId w:val="40"/>
  </w:num>
  <w:num w:numId="11" w16cid:durableId="1155293487">
    <w:abstractNumId w:val="35"/>
  </w:num>
  <w:num w:numId="12" w16cid:durableId="1171335322">
    <w:abstractNumId w:val="36"/>
  </w:num>
  <w:num w:numId="13" w16cid:durableId="1357779226">
    <w:abstractNumId w:val="24"/>
  </w:num>
  <w:num w:numId="14" w16cid:durableId="1096370209">
    <w:abstractNumId w:val="22"/>
  </w:num>
  <w:num w:numId="15" w16cid:durableId="109588377">
    <w:abstractNumId w:val="16"/>
  </w:num>
  <w:num w:numId="16" w16cid:durableId="667437790">
    <w:abstractNumId w:val="5"/>
  </w:num>
  <w:num w:numId="17" w16cid:durableId="835265340">
    <w:abstractNumId w:val="29"/>
  </w:num>
  <w:num w:numId="18" w16cid:durableId="944847263">
    <w:abstractNumId w:val="15"/>
  </w:num>
  <w:num w:numId="19" w16cid:durableId="617027247">
    <w:abstractNumId w:val="20"/>
  </w:num>
  <w:num w:numId="20" w16cid:durableId="1793749148">
    <w:abstractNumId w:val="38"/>
  </w:num>
  <w:num w:numId="21" w16cid:durableId="521169872">
    <w:abstractNumId w:val="39"/>
  </w:num>
  <w:num w:numId="22" w16cid:durableId="58745885">
    <w:abstractNumId w:val="31"/>
  </w:num>
  <w:num w:numId="23" w16cid:durableId="1171142861">
    <w:abstractNumId w:val="32"/>
  </w:num>
  <w:num w:numId="24" w16cid:durableId="1125273819">
    <w:abstractNumId w:val="14"/>
  </w:num>
  <w:num w:numId="25" w16cid:durableId="798688695">
    <w:abstractNumId w:val="10"/>
  </w:num>
  <w:num w:numId="26" w16cid:durableId="679358414">
    <w:abstractNumId w:val="28"/>
  </w:num>
  <w:num w:numId="27" w16cid:durableId="800225435">
    <w:abstractNumId w:val="37"/>
  </w:num>
  <w:num w:numId="28" w16cid:durableId="1597596104">
    <w:abstractNumId w:val="13"/>
  </w:num>
  <w:num w:numId="29" w16cid:durableId="1272132875">
    <w:abstractNumId w:val="7"/>
  </w:num>
  <w:num w:numId="30" w16cid:durableId="2105804075">
    <w:abstractNumId w:val="4"/>
  </w:num>
  <w:num w:numId="31" w16cid:durableId="125437399">
    <w:abstractNumId w:val="11"/>
  </w:num>
  <w:num w:numId="32" w16cid:durableId="112674405">
    <w:abstractNumId w:val="0"/>
  </w:num>
  <w:num w:numId="33" w16cid:durableId="490025120">
    <w:abstractNumId w:val="3"/>
  </w:num>
  <w:num w:numId="34" w16cid:durableId="1138838183">
    <w:abstractNumId w:val="2"/>
  </w:num>
  <w:num w:numId="35" w16cid:durableId="693270115">
    <w:abstractNumId w:val="17"/>
  </w:num>
  <w:num w:numId="36" w16cid:durableId="2006277717">
    <w:abstractNumId w:val="21"/>
  </w:num>
  <w:num w:numId="37" w16cid:durableId="819618394">
    <w:abstractNumId w:val="18"/>
  </w:num>
  <w:num w:numId="38" w16cid:durableId="16858954">
    <w:abstractNumId w:val="19"/>
  </w:num>
  <w:num w:numId="39" w16cid:durableId="1575772775">
    <w:abstractNumId w:val="25"/>
  </w:num>
  <w:num w:numId="40" w16cid:durableId="426929516">
    <w:abstractNumId w:val="12"/>
  </w:num>
  <w:num w:numId="41" w16cid:durableId="926694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56"/>
    <w:rsid w:val="000124C4"/>
    <w:rsid w:val="00014ED0"/>
    <w:rsid w:val="00022805"/>
    <w:rsid w:val="00030637"/>
    <w:rsid w:val="00037E7D"/>
    <w:rsid w:val="00040AC1"/>
    <w:rsid w:val="0004488F"/>
    <w:rsid w:val="00051666"/>
    <w:rsid w:val="000552A5"/>
    <w:rsid w:val="000567F5"/>
    <w:rsid w:val="00081043"/>
    <w:rsid w:val="00093379"/>
    <w:rsid w:val="000A00A5"/>
    <w:rsid w:val="000A7139"/>
    <w:rsid w:val="000A7725"/>
    <w:rsid w:val="000B0FE4"/>
    <w:rsid w:val="000B223F"/>
    <w:rsid w:val="000B46D0"/>
    <w:rsid w:val="000C1B19"/>
    <w:rsid w:val="000C572F"/>
    <w:rsid w:val="000E1C9D"/>
    <w:rsid w:val="000E21D3"/>
    <w:rsid w:val="000E2FB1"/>
    <w:rsid w:val="000E4B1C"/>
    <w:rsid w:val="000F5265"/>
    <w:rsid w:val="000F58FC"/>
    <w:rsid w:val="000F59B3"/>
    <w:rsid w:val="001041BB"/>
    <w:rsid w:val="00105124"/>
    <w:rsid w:val="00111F69"/>
    <w:rsid w:val="001175BC"/>
    <w:rsid w:val="001206D3"/>
    <w:rsid w:val="00125302"/>
    <w:rsid w:val="00125B2A"/>
    <w:rsid w:val="00133A21"/>
    <w:rsid w:val="00134B40"/>
    <w:rsid w:val="00136EDF"/>
    <w:rsid w:val="0013751B"/>
    <w:rsid w:val="001511B4"/>
    <w:rsid w:val="00165BA3"/>
    <w:rsid w:val="00170FE3"/>
    <w:rsid w:val="00172A24"/>
    <w:rsid w:val="00172ABD"/>
    <w:rsid w:val="00183A32"/>
    <w:rsid w:val="001872A1"/>
    <w:rsid w:val="001A0088"/>
    <w:rsid w:val="001A2FEB"/>
    <w:rsid w:val="001B1995"/>
    <w:rsid w:val="001B7BCF"/>
    <w:rsid w:val="001C0F13"/>
    <w:rsid w:val="001C27C6"/>
    <w:rsid w:val="001C4539"/>
    <w:rsid w:val="001C4EC0"/>
    <w:rsid w:val="001C50FD"/>
    <w:rsid w:val="001D2DB2"/>
    <w:rsid w:val="001D3506"/>
    <w:rsid w:val="001E1FBC"/>
    <w:rsid w:val="001E41D0"/>
    <w:rsid w:val="001E4C79"/>
    <w:rsid w:val="001F4086"/>
    <w:rsid w:val="001F56D6"/>
    <w:rsid w:val="001F7C08"/>
    <w:rsid w:val="00204494"/>
    <w:rsid w:val="0021256B"/>
    <w:rsid w:val="00235504"/>
    <w:rsid w:val="0024172C"/>
    <w:rsid w:val="00245EA5"/>
    <w:rsid w:val="00254B9C"/>
    <w:rsid w:val="00261A8A"/>
    <w:rsid w:val="00264A3D"/>
    <w:rsid w:val="00282F6F"/>
    <w:rsid w:val="00284292"/>
    <w:rsid w:val="002A2EBE"/>
    <w:rsid w:val="002A4EB5"/>
    <w:rsid w:val="002B6FA0"/>
    <w:rsid w:val="002C33EC"/>
    <w:rsid w:val="002C4E64"/>
    <w:rsid w:val="002D1C59"/>
    <w:rsid w:val="002D7B77"/>
    <w:rsid w:val="002E2C87"/>
    <w:rsid w:val="002E569D"/>
    <w:rsid w:val="002E58EA"/>
    <w:rsid w:val="002F1A13"/>
    <w:rsid w:val="002F5AEC"/>
    <w:rsid w:val="00303618"/>
    <w:rsid w:val="0031190B"/>
    <w:rsid w:val="003130D6"/>
    <w:rsid w:val="00314B5C"/>
    <w:rsid w:val="003171E4"/>
    <w:rsid w:val="00317F4D"/>
    <w:rsid w:val="00324361"/>
    <w:rsid w:val="00326BA7"/>
    <w:rsid w:val="0033250A"/>
    <w:rsid w:val="00343162"/>
    <w:rsid w:val="00356FE3"/>
    <w:rsid w:val="0036059F"/>
    <w:rsid w:val="00361222"/>
    <w:rsid w:val="00367952"/>
    <w:rsid w:val="00372F70"/>
    <w:rsid w:val="003731FC"/>
    <w:rsid w:val="00376ADB"/>
    <w:rsid w:val="00377812"/>
    <w:rsid w:val="00380C55"/>
    <w:rsid w:val="00380FAC"/>
    <w:rsid w:val="003913C7"/>
    <w:rsid w:val="00395CB6"/>
    <w:rsid w:val="003A1BA4"/>
    <w:rsid w:val="003A5E2F"/>
    <w:rsid w:val="003B2B40"/>
    <w:rsid w:val="003E2000"/>
    <w:rsid w:val="003E3788"/>
    <w:rsid w:val="003F76AE"/>
    <w:rsid w:val="00406DA0"/>
    <w:rsid w:val="00410F59"/>
    <w:rsid w:val="00415BD6"/>
    <w:rsid w:val="00416F12"/>
    <w:rsid w:val="0043167A"/>
    <w:rsid w:val="00432DD5"/>
    <w:rsid w:val="004457B3"/>
    <w:rsid w:val="00451A74"/>
    <w:rsid w:val="004611AF"/>
    <w:rsid w:val="004617DB"/>
    <w:rsid w:val="0046788F"/>
    <w:rsid w:val="00467E03"/>
    <w:rsid w:val="00473A7C"/>
    <w:rsid w:val="0048750A"/>
    <w:rsid w:val="004928D1"/>
    <w:rsid w:val="004A3EF0"/>
    <w:rsid w:val="004B5FDD"/>
    <w:rsid w:val="004C081B"/>
    <w:rsid w:val="004D3D08"/>
    <w:rsid w:val="004D60EB"/>
    <w:rsid w:val="004D6A33"/>
    <w:rsid w:val="004E2692"/>
    <w:rsid w:val="004E38DC"/>
    <w:rsid w:val="004F16B5"/>
    <w:rsid w:val="004F437A"/>
    <w:rsid w:val="0050277D"/>
    <w:rsid w:val="005058E2"/>
    <w:rsid w:val="00506C50"/>
    <w:rsid w:val="00520274"/>
    <w:rsid w:val="00520C21"/>
    <w:rsid w:val="00524A82"/>
    <w:rsid w:val="00524B5E"/>
    <w:rsid w:val="0052764A"/>
    <w:rsid w:val="005356A6"/>
    <w:rsid w:val="00536B2F"/>
    <w:rsid w:val="00537196"/>
    <w:rsid w:val="00543B61"/>
    <w:rsid w:val="00544FC0"/>
    <w:rsid w:val="00545E56"/>
    <w:rsid w:val="00554DE3"/>
    <w:rsid w:val="00555C26"/>
    <w:rsid w:val="005662CF"/>
    <w:rsid w:val="0057516B"/>
    <w:rsid w:val="0057607C"/>
    <w:rsid w:val="00577C21"/>
    <w:rsid w:val="00580BA0"/>
    <w:rsid w:val="00590CE1"/>
    <w:rsid w:val="00595322"/>
    <w:rsid w:val="005A70C7"/>
    <w:rsid w:val="005B7271"/>
    <w:rsid w:val="005B7D01"/>
    <w:rsid w:val="005D1239"/>
    <w:rsid w:val="005D43A4"/>
    <w:rsid w:val="005D7D56"/>
    <w:rsid w:val="005E7F63"/>
    <w:rsid w:val="00613977"/>
    <w:rsid w:val="00615ACC"/>
    <w:rsid w:val="006163D6"/>
    <w:rsid w:val="00625B03"/>
    <w:rsid w:val="00631FD8"/>
    <w:rsid w:val="0063745F"/>
    <w:rsid w:val="0064633B"/>
    <w:rsid w:val="00647507"/>
    <w:rsid w:val="00665C66"/>
    <w:rsid w:val="00692308"/>
    <w:rsid w:val="00694F64"/>
    <w:rsid w:val="006B19B9"/>
    <w:rsid w:val="006C3F22"/>
    <w:rsid w:val="006D27FC"/>
    <w:rsid w:val="006F26A6"/>
    <w:rsid w:val="006F307E"/>
    <w:rsid w:val="006F4791"/>
    <w:rsid w:val="006F48B7"/>
    <w:rsid w:val="00701856"/>
    <w:rsid w:val="00703666"/>
    <w:rsid w:val="00703E0B"/>
    <w:rsid w:val="007168CB"/>
    <w:rsid w:val="007209C1"/>
    <w:rsid w:val="007252B7"/>
    <w:rsid w:val="0074080F"/>
    <w:rsid w:val="0074407D"/>
    <w:rsid w:val="00761AFB"/>
    <w:rsid w:val="00762332"/>
    <w:rsid w:val="007665D3"/>
    <w:rsid w:val="007755D0"/>
    <w:rsid w:val="007772C3"/>
    <w:rsid w:val="0078326F"/>
    <w:rsid w:val="007878B6"/>
    <w:rsid w:val="007A0F16"/>
    <w:rsid w:val="007A21D1"/>
    <w:rsid w:val="007A2C37"/>
    <w:rsid w:val="007A2ED2"/>
    <w:rsid w:val="007A7FFE"/>
    <w:rsid w:val="007B2AB6"/>
    <w:rsid w:val="007D2229"/>
    <w:rsid w:val="007D22E7"/>
    <w:rsid w:val="007D3C2F"/>
    <w:rsid w:val="007D3FBE"/>
    <w:rsid w:val="007D478B"/>
    <w:rsid w:val="007D4971"/>
    <w:rsid w:val="007E4E41"/>
    <w:rsid w:val="007F0146"/>
    <w:rsid w:val="007F51D6"/>
    <w:rsid w:val="007F7E08"/>
    <w:rsid w:val="00802546"/>
    <w:rsid w:val="00803425"/>
    <w:rsid w:val="00803B82"/>
    <w:rsid w:val="00803F7F"/>
    <w:rsid w:val="00804C4E"/>
    <w:rsid w:val="00805687"/>
    <w:rsid w:val="00805C17"/>
    <w:rsid w:val="0080642D"/>
    <w:rsid w:val="00807006"/>
    <w:rsid w:val="00811060"/>
    <w:rsid w:val="008248C6"/>
    <w:rsid w:val="00826076"/>
    <w:rsid w:val="008270CA"/>
    <w:rsid w:val="008424F2"/>
    <w:rsid w:val="00857626"/>
    <w:rsid w:val="008621C2"/>
    <w:rsid w:val="00871D1F"/>
    <w:rsid w:val="00873977"/>
    <w:rsid w:val="00876625"/>
    <w:rsid w:val="00877166"/>
    <w:rsid w:val="0087779B"/>
    <w:rsid w:val="008967CF"/>
    <w:rsid w:val="00897130"/>
    <w:rsid w:val="008A3817"/>
    <w:rsid w:val="008A53C6"/>
    <w:rsid w:val="008A6473"/>
    <w:rsid w:val="008A69A8"/>
    <w:rsid w:val="008B1F5A"/>
    <w:rsid w:val="008B3CBC"/>
    <w:rsid w:val="008B56FC"/>
    <w:rsid w:val="008D55DD"/>
    <w:rsid w:val="008F1819"/>
    <w:rsid w:val="008F479F"/>
    <w:rsid w:val="009021F3"/>
    <w:rsid w:val="0090335C"/>
    <w:rsid w:val="00914917"/>
    <w:rsid w:val="0092297A"/>
    <w:rsid w:val="00923BEE"/>
    <w:rsid w:val="00923DDF"/>
    <w:rsid w:val="009368FC"/>
    <w:rsid w:val="009423D4"/>
    <w:rsid w:val="00942CE9"/>
    <w:rsid w:val="009519C8"/>
    <w:rsid w:val="00961710"/>
    <w:rsid w:val="00961DB3"/>
    <w:rsid w:val="00966BD6"/>
    <w:rsid w:val="009724E0"/>
    <w:rsid w:val="00977C4C"/>
    <w:rsid w:val="0098133B"/>
    <w:rsid w:val="0098307B"/>
    <w:rsid w:val="00996625"/>
    <w:rsid w:val="00996822"/>
    <w:rsid w:val="009B4B56"/>
    <w:rsid w:val="009B6967"/>
    <w:rsid w:val="009C2B76"/>
    <w:rsid w:val="009D27F9"/>
    <w:rsid w:val="009D643A"/>
    <w:rsid w:val="009D7D90"/>
    <w:rsid w:val="009E3E75"/>
    <w:rsid w:val="009E68A7"/>
    <w:rsid w:val="009F03C8"/>
    <w:rsid w:val="009F356A"/>
    <w:rsid w:val="009F59CD"/>
    <w:rsid w:val="009F5FC1"/>
    <w:rsid w:val="00A021A9"/>
    <w:rsid w:val="00A1430F"/>
    <w:rsid w:val="00A23AC9"/>
    <w:rsid w:val="00A24BF3"/>
    <w:rsid w:val="00A31A4A"/>
    <w:rsid w:val="00A417FE"/>
    <w:rsid w:val="00A512ED"/>
    <w:rsid w:val="00A56599"/>
    <w:rsid w:val="00A713AC"/>
    <w:rsid w:val="00A760DD"/>
    <w:rsid w:val="00A76454"/>
    <w:rsid w:val="00A81AE3"/>
    <w:rsid w:val="00A936AB"/>
    <w:rsid w:val="00AA5109"/>
    <w:rsid w:val="00AB06FC"/>
    <w:rsid w:val="00AB4A55"/>
    <w:rsid w:val="00AC16D7"/>
    <w:rsid w:val="00AC1C98"/>
    <w:rsid w:val="00AC200E"/>
    <w:rsid w:val="00AC2817"/>
    <w:rsid w:val="00AC4735"/>
    <w:rsid w:val="00AC6B89"/>
    <w:rsid w:val="00AD4EA7"/>
    <w:rsid w:val="00AD7357"/>
    <w:rsid w:val="00AE706D"/>
    <w:rsid w:val="00AF0A76"/>
    <w:rsid w:val="00B02E75"/>
    <w:rsid w:val="00B0544F"/>
    <w:rsid w:val="00B071D7"/>
    <w:rsid w:val="00B1191B"/>
    <w:rsid w:val="00B26718"/>
    <w:rsid w:val="00B422C4"/>
    <w:rsid w:val="00B6436E"/>
    <w:rsid w:val="00B72EFD"/>
    <w:rsid w:val="00B816B7"/>
    <w:rsid w:val="00B83E49"/>
    <w:rsid w:val="00B84D1B"/>
    <w:rsid w:val="00B872D1"/>
    <w:rsid w:val="00B91AF0"/>
    <w:rsid w:val="00BA2B75"/>
    <w:rsid w:val="00BA34F3"/>
    <w:rsid w:val="00BA6646"/>
    <w:rsid w:val="00BC2820"/>
    <w:rsid w:val="00BF061A"/>
    <w:rsid w:val="00BF6C62"/>
    <w:rsid w:val="00C00FF8"/>
    <w:rsid w:val="00C0403D"/>
    <w:rsid w:val="00C23619"/>
    <w:rsid w:val="00C4012A"/>
    <w:rsid w:val="00C41C2A"/>
    <w:rsid w:val="00C45728"/>
    <w:rsid w:val="00C4596D"/>
    <w:rsid w:val="00C56E0D"/>
    <w:rsid w:val="00C607C2"/>
    <w:rsid w:val="00C6351A"/>
    <w:rsid w:val="00C67386"/>
    <w:rsid w:val="00C70664"/>
    <w:rsid w:val="00C7178C"/>
    <w:rsid w:val="00C831D2"/>
    <w:rsid w:val="00C83EBD"/>
    <w:rsid w:val="00C850E2"/>
    <w:rsid w:val="00CA2A4D"/>
    <w:rsid w:val="00CA34F8"/>
    <w:rsid w:val="00CA64FD"/>
    <w:rsid w:val="00CA7002"/>
    <w:rsid w:val="00CD6187"/>
    <w:rsid w:val="00CD66E5"/>
    <w:rsid w:val="00CD6A7B"/>
    <w:rsid w:val="00CD7AEA"/>
    <w:rsid w:val="00CE1CC2"/>
    <w:rsid w:val="00CE5612"/>
    <w:rsid w:val="00CF3B26"/>
    <w:rsid w:val="00CF4B02"/>
    <w:rsid w:val="00CF5641"/>
    <w:rsid w:val="00D04352"/>
    <w:rsid w:val="00D073AD"/>
    <w:rsid w:val="00D10260"/>
    <w:rsid w:val="00D16337"/>
    <w:rsid w:val="00D17B83"/>
    <w:rsid w:val="00D300EA"/>
    <w:rsid w:val="00D353FA"/>
    <w:rsid w:val="00D375FB"/>
    <w:rsid w:val="00D416C3"/>
    <w:rsid w:val="00D51376"/>
    <w:rsid w:val="00D52465"/>
    <w:rsid w:val="00D554FB"/>
    <w:rsid w:val="00D64ACE"/>
    <w:rsid w:val="00D82994"/>
    <w:rsid w:val="00D862FC"/>
    <w:rsid w:val="00D97592"/>
    <w:rsid w:val="00DA528D"/>
    <w:rsid w:val="00DB285B"/>
    <w:rsid w:val="00DC2FB1"/>
    <w:rsid w:val="00DC7E09"/>
    <w:rsid w:val="00DD036A"/>
    <w:rsid w:val="00DD0869"/>
    <w:rsid w:val="00DE3BC0"/>
    <w:rsid w:val="00DE6906"/>
    <w:rsid w:val="00DE7F3B"/>
    <w:rsid w:val="00DF3904"/>
    <w:rsid w:val="00DF67C0"/>
    <w:rsid w:val="00E0281D"/>
    <w:rsid w:val="00E05BBB"/>
    <w:rsid w:val="00E05EAC"/>
    <w:rsid w:val="00E10C1E"/>
    <w:rsid w:val="00E17B67"/>
    <w:rsid w:val="00E22B47"/>
    <w:rsid w:val="00E3275F"/>
    <w:rsid w:val="00E32947"/>
    <w:rsid w:val="00E35CF0"/>
    <w:rsid w:val="00E408EA"/>
    <w:rsid w:val="00E418D3"/>
    <w:rsid w:val="00E552BD"/>
    <w:rsid w:val="00E63808"/>
    <w:rsid w:val="00E65D4B"/>
    <w:rsid w:val="00E720CB"/>
    <w:rsid w:val="00E97770"/>
    <w:rsid w:val="00EA0012"/>
    <w:rsid w:val="00EA0799"/>
    <w:rsid w:val="00EA7B0E"/>
    <w:rsid w:val="00EB6029"/>
    <w:rsid w:val="00EC0C34"/>
    <w:rsid w:val="00EC3078"/>
    <w:rsid w:val="00EC5495"/>
    <w:rsid w:val="00ED21B8"/>
    <w:rsid w:val="00ED5EEF"/>
    <w:rsid w:val="00ED666F"/>
    <w:rsid w:val="00EF7BB0"/>
    <w:rsid w:val="00F0735E"/>
    <w:rsid w:val="00F116A6"/>
    <w:rsid w:val="00F11945"/>
    <w:rsid w:val="00F12CE0"/>
    <w:rsid w:val="00F15606"/>
    <w:rsid w:val="00F2229C"/>
    <w:rsid w:val="00F2479E"/>
    <w:rsid w:val="00F40130"/>
    <w:rsid w:val="00F51104"/>
    <w:rsid w:val="00F53598"/>
    <w:rsid w:val="00F5589B"/>
    <w:rsid w:val="00F62315"/>
    <w:rsid w:val="00F6433F"/>
    <w:rsid w:val="00F6728F"/>
    <w:rsid w:val="00F7560D"/>
    <w:rsid w:val="00F76327"/>
    <w:rsid w:val="00F768A7"/>
    <w:rsid w:val="00F8478E"/>
    <w:rsid w:val="00F961E5"/>
    <w:rsid w:val="00FA0835"/>
    <w:rsid w:val="00FB08B3"/>
    <w:rsid w:val="00FB1C3A"/>
    <w:rsid w:val="00FB6DB7"/>
    <w:rsid w:val="00FC3189"/>
    <w:rsid w:val="00FC5EAE"/>
    <w:rsid w:val="00FD7FC5"/>
    <w:rsid w:val="00FE0E95"/>
    <w:rsid w:val="00FF1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5D896"/>
  <w15:chartTrackingRefBased/>
  <w15:docId w15:val="{CCE39823-0470-49A6-AB5D-55C428AD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7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E56"/>
    <w:pPr>
      <w:ind w:left="720"/>
      <w:contextualSpacing/>
    </w:pPr>
  </w:style>
  <w:style w:type="table" w:styleId="TableGrid">
    <w:name w:val="Table Grid"/>
    <w:basedOn w:val="TableNormal"/>
    <w:uiPriority w:val="59"/>
    <w:rsid w:val="00F55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D478B"/>
    <w:rPr>
      <w:color w:val="0000FF"/>
      <w:u w:val="single"/>
    </w:rPr>
  </w:style>
  <w:style w:type="paragraph" w:styleId="BalloonText">
    <w:name w:val="Balloon Text"/>
    <w:basedOn w:val="Normal"/>
    <w:link w:val="BalloonTextChar"/>
    <w:uiPriority w:val="99"/>
    <w:semiHidden/>
    <w:unhideWhenUsed/>
    <w:rsid w:val="00B91A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1AF0"/>
    <w:rPr>
      <w:rFonts w:ascii="Tahoma" w:hAnsi="Tahoma" w:cs="Tahoma"/>
      <w:sz w:val="16"/>
      <w:szCs w:val="16"/>
    </w:rPr>
  </w:style>
  <w:style w:type="paragraph" w:styleId="Header">
    <w:name w:val="header"/>
    <w:basedOn w:val="Normal"/>
    <w:link w:val="HeaderChar"/>
    <w:uiPriority w:val="99"/>
    <w:unhideWhenUsed/>
    <w:rsid w:val="002A4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EB5"/>
  </w:style>
  <w:style w:type="paragraph" w:styleId="Footer">
    <w:name w:val="footer"/>
    <w:basedOn w:val="Normal"/>
    <w:link w:val="FooterChar"/>
    <w:uiPriority w:val="99"/>
    <w:unhideWhenUsed/>
    <w:rsid w:val="002A4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B5"/>
  </w:style>
  <w:style w:type="character" w:styleId="CommentReference">
    <w:name w:val="annotation reference"/>
    <w:uiPriority w:val="99"/>
    <w:unhideWhenUsed/>
    <w:rsid w:val="0004488F"/>
    <w:rPr>
      <w:sz w:val="16"/>
      <w:szCs w:val="16"/>
    </w:rPr>
  </w:style>
  <w:style w:type="paragraph" w:styleId="CommentText">
    <w:name w:val="annotation text"/>
    <w:basedOn w:val="Normal"/>
    <w:link w:val="CommentTextChar"/>
    <w:uiPriority w:val="99"/>
    <w:unhideWhenUsed/>
    <w:rsid w:val="0004488F"/>
    <w:rPr>
      <w:sz w:val="20"/>
      <w:szCs w:val="20"/>
    </w:rPr>
  </w:style>
  <w:style w:type="character" w:customStyle="1" w:styleId="CommentTextChar">
    <w:name w:val="Comment Text Char"/>
    <w:basedOn w:val="DefaultParagraphFont"/>
    <w:link w:val="CommentText"/>
    <w:uiPriority w:val="99"/>
    <w:rsid w:val="0004488F"/>
  </w:style>
  <w:style w:type="paragraph" w:styleId="CommentSubject">
    <w:name w:val="annotation subject"/>
    <w:basedOn w:val="CommentText"/>
    <w:next w:val="CommentText"/>
    <w:link w:val="CommentSubjectChar"/>
    <w:uiPriority w:val="99"/>
    <w:semiHidden/>
    <w:unhideWhenUsed/>
    <w:rsid w:val="0004488F"/>
    <w:rPr>
      <w:b/>
      <w:bCs/>
    </w:rPr>
  </w:style>
  <w:style w:type="character" w:customStyle="1" w:styleId="CommentSubjectChar">
    <w:name w:val="Comment Subject Char"/>
    <w:link w:val="CommentSubject"/>
    <w:uiPriority w:val="99"/>
    <w:semiHidden/>
    <w:rsid w:val="0004488F"/>
    <w:rPr>
      <w:b/>
      <w:bCs/>
    </w:rPr>
  </w:style>
  <w:style w:type="paragraph" w:styleId="Revision">
    <w:name w:val="Revision"/>
    <w:hidden/>
    <w:uiPriority w:val="99"/>
    <w:semiHidden/>
    <w:rsid w:val="0004488F"/>
    <w:rPr>
      <w:sz w:val="22"/>
      <w:szCs w:val="22"/>
    </w:rPr>
  </w:style>
  <w:style w:type="paragraph" w:styleId="FootnoteText">
    <w:name w:val="footnote text"/>
    <w:basedOn w:val="Normal"/>
    <w:link w:val="FootnoteTextChar"/>
    <w:uiPriority w:val="99"/>
    <w:semiHidden/>
    <w:unhideWhenUsed/>
    <w:rsid w:val="00317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F4D"/>
  </w:style>
  <w:style w:type="character" w:styleId="FootnoteReference">
    <w:name w:val="footnote reference"/>
    <w:basedOn w:val="DefaultParagraphFont"/>
    <w:uiPriority w:val="99"/>
    <w:semiHidden/>
    <w:unhideWhenUsed/>
    <w:rsid w:val="00317F4D"/>
    <w:rPr>
      <w:vertAlign w:val="superscript"/>
    </w:rPr>
  </w:style>
  <w:style w:type="character" w:styleId="UnresolvedMention">
    <w:name w:val="Unresolved Mention"/>
    <w:basedOn w:val="DefaultParagraphFont"/>
    <w:uiPriority w:val="99"/>
    <w:semiHidden/>
    <w:unhideWhenUsed/>
    <w:rsid w:val="00CA64FD"/>
    <w:rPr>
      <w:color w:val="605E5C"/>
      <w:shd w:val="clear" w:color="auto" w:fill="E1DFDD"/>
    </w:rPr>
  </w:style>
  <w:style w:type="character" w:styleId="Emphasis">
    <w:name w:val="Emphasis"/>
    <w:basedOn w:val="DefaultParagraphFont"/>
    <w:uiPriority w:val="20"/>
    <w:qFormat/>
    <w:rsid w:val="008B1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ocreditbank.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rocredit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75437BE359E44AA2156D69B239182" ma:contentTypeVersion="24" ma:contentTypeDescription="Create a new document." ma:contentTypeScope="" ma:versionID="0f5f3419bf4d30eeddf2f53e0d11ba36">
  <xsd:schema xmlns:xsd="http://www.w3.org/2001/XMLSchema" xmlns:p="http://schemas.microsoft.com/office/2006/metadata/properties" xmlns:ns2="93dab917-3b5c-4c57-ba4c-84fa976159d1" xmlns:ns3="http://schemas.microsoft.com/sharepoint/v3/fields" xmlns:ns4="2ca647ca-e59c-4460-8c4a-a772fcb3acc5" targetNamespace="http://schemas.microsoft.com/office/2006/metadata/properties" ma:root="true" ma:fieldsID="204824e7cf83464a1d68f4b7b4ab1609" ns2:_="" ns3:_="" ns4:_="">
    <xsd:import namespace="93dab917-3b5c-4c57-ba4c-84fa976159d1"/>
    <xsd:import namespace="http://schemas.microsoft.com/sharepoint/v3/fields"/>
    <xsd:import namespace="2ca647ca-e59c-4460-8c4a-a772fcb3acc5"/>
    <xsd:element name="properties">
      <xsd:complexType>
        <xsd:sequence>
          <xsd:element name="documentManagement">
            <xsd:complexType>
              <xsd:all>
                <xsd:element ref="ns2:სექტორი"/>
                <xsd:element ref="ns3:_DCDateModified" minOccurs="0"/>
                <xsd:element ref="ns2:პროდუქტი"/>
                <xsd:element ref="ns2:დოკუმენტის_x0020_ტიპი" minOccurs="0"/>
                <xsd:element ref="ns2:მომხმარებელი" minOccurs="0"/>
                <xsd:element ref="ns4:_x10d2__x10d0__x10e3__x10e5__x10db__x10d4__x10d1__x10e3__x10da__x10d8__x10d0_" minOccurs="0"/>
              </xsd:all>
            </xsd:complexType>
          </xsd:element>
        </xsd:sequence>
      </xsd:complexType>
    </xsd:element>
  </xsd:schema>
  <xsd:schema xmlns:xsd="http://www.w3.org/2001/XMLSchema" xmlns:dms="http://schemas.microsoft.com/office/2006/documentManagement/types" targetNamespace="93dab917-3b5c-4c57-ba4c-84fa976159d1" elementFormDefault="qualified">
    <xsd:import namespace="http://schemas.microsoft.com/office/2006/documentManagement/types"/>
    <xsd:element name="სექტორი" ma:index="8" ma:displayName="სექტორი" ma:format="Dropdown" ma:internalName="_x10e1__x10d4__x10e5__x10e2__x10dd__x10e0__x10d8_">
      <xsd:simpleType>
        <xsd:restriction base="dms:Choice">
          <xsd:enumeration value="IT"/>
          <xsd:enumeration value="HR"/>
          <xsd:enumeration value="ადმინისტრაცია"/>
          <xsd:enumeration value="არქივი"/>
          <xsd:enumeration value="ხაზინა"/>
          <xsd:enumeration value="დაცვა–უსაფრთხოება"/>
          <xsd:enumeration value="იურიდიული"/>
          <xsd:enumeration value="შესყიდვები"/>
          <xsd:enumeration value="საერთო"/>
          <xsd:enumeration value="პროკრედიტ ფროფერთის"/>
          <xsd:enumeration value="ბუღალტერია"/>
          <xsd:enumeration value="კონტროლინგი"/>
          <xsd:enumeration value="საკორესპონდენტო"/>
          <xsd:enumeration value="საკრედიტო"/>
          <xsd:enumeration value="დებულება"/>
          <xsd:enumeration value="თანამდებობრივი ინსტრუქცია"/>
          <xsd:enumeration value="საოპერაციო"/>
          <xsd:enumeration value="სალარო"/>
          <xsd:enumeration value="სამდივნო"/>
          <xsd:enumeration value="AML"/>
          <xsd:enumeration value="ბანკომატი"/>
          <xsd:enumeration value="ფიზიკური უსაფრთხოება"/>
          <xsd:enumeration value="მარკეტინგი"/>
        </xsd:restriction>
      </xsd:simpleType>
    </xsd:element>
    <xsd:element name="პროდუქტი" ma:index="10" ma:displayName="პროდუქტის კოდი" ma:format="Dropdown" ma:internalName="_x10de__x10e0__x10dd__x10d3__x10e3__x10e5__x10e2__x10d8_">
      <xsd:simpleType>
        <xsd:restriction base="dms:Choice">
          <xsd:enumeration value="01_ანგარიშის გახსნა"/>
          <xsd:enumeration value="02_ინერნეტ ბანკინგი"/>
          <xsd:enumeration value="03_ყაზტრანსგაზი"/>
          <xsd:enumeration value="04_ვესტერნ იუნიონი"/>
          <xsd:enumeration value="05_ექსპრეს გზავნილი"/>
          <xsd:enumeration value="06_ანელიკი"/>
          <xsd:enumeration value="07_ავტომატური დავალებები"/>
          <xsd:enumeration value="08_სატელეფონო პინ-კოდი"/>
          <xsd:enumeration value="09_სამგზავრო ჩეკები"/>
          <xsd:enumeration value="10_საჯარო რეესტრი"/>
          <xsd:enumeration value="11_თანხის კონვერტაცია"/>
          <xsd:enumeration value="12_სამართალდარღვევათა ქვითრები"/>
          <xsd:enumeration value="13_ქოინსტარი"/>
          <xsd:enumeration value="14_ბანკი კლიენტი"/>
          <xsd:enumeration value="15_ანაბრები"/>
          <xsd:enumeration value="16_საბანკო ჩეკები"/>
          <xsd:enumeration value="17_სატელეფონო გადახდები"/>
          <xsd:enumeration value="18_სახელფასო პროექტი"/>
          <xsd:enumeration value="19_პოს ტერმინალი"/>
          <xsd:enumeration value="20_კომუნალური და სხვა გადახდები"/>
          <xsd:enumeration value="21_საინკასო დავალება"/>
          <xsd:enumeration value="22_სოკარ ჯორჯია გაზის გადახდები"/>
          <xsd:enumeration value="23_ბონუს პროდუქტი"/>
          <xsd:enumeration value="24_SMS მომსახურება"/>
          <xsd:enumeration value="25_კავკასუს ონლაინი"/>
          <xsd:enumeration value="26_მანიგრამი"/>
          <xsd:enumeration value="27_ოვერდრაფტი"/>
          <xsd:enumeration value="28_სალარო"/>
          <xsd:enumeration value="29_რუსთავგაზის გადახდები"/>
          <xsd:enumeration value="30_ბარათები"/>
          <xsd:enumeration value="31_მგგს გადახდები"/>
          <xsd:enumeration value="32_გორიგაზის გადახდები"/>
          <xsd:enumeration value="33_მაგთის და ჯეოსელის გადახდები"/>
          <xsd:enumeration value="34_ქუთაისგაზი"/>
          <xsd:enumeration value="35_მომსახურება UCC–ის საშუალებით"/>
          <xsd:enumeration value="37_ესქრო ანგარიში"/>
          <xsd:enumeration value="38_ნოვა ტექნოლოჯის გადახდები"/>
          <xsd:enumeration value="39_კომუნალური გადახდები"/>
          <xsd:enumeration value="40_გადარიცხვა ანგარიშის გახსნის გარეშე"/>
          <xsd:enumeration value="41_ირანის ფიზ. და იურ.პირების მომსახურება"/>
          <xsd:enumeration value="42_უნაღდო ანგარიშსწორება"/>
          <xsd:enumeration value="43_დამატებითი მომსახურება"/>
          <xsd:enumeration value="44_ეკვაირინგი"/>
          <xsd:enumeration value="45_ყადაღა"/>
          <xsd:enumeration value="46_კლიენტის იდენტიფიკაცია"/>
          <xsd:enumeration value="47_ნაშთების/ბრუნვის დაფარვა/მოხსნა"/>
          <xsd:enumeration value="48_დეპოზიტით უზრუნველყოფილი სესხი"/>
          <xsd:enumeration value="49_სწრაფი სესხი"/>
          <xsd:enumeration value="50_სწრაფი გადახდის ტერმინალი"/>
          <xsd:enumeration value="ტარიფები"/>
          <xsd:enumeration value="პროაქტა"/>
          <xsd:enumeration value="ორგანიზაციული განყოფილება"/>
          <xsd:enumeration value="იურიდიული განყოფილება"/>
          <xsd:enumeration value="შესყიდვების განყოფილება"/>
          <xsd:enumeration value="დაცვა–უსაფრთხოების და ინკასაციის განყოფილება"/>
          <xsd:enumeration value="წარმომადგენლობითი ხარჯები"/>
          <xsd:enumeration value="ავტორიზაციის უფლებები"/>
          <xsd:enumeration value="ოქმი"/>
          <xsd:enumeration value="ხელშეკრულება"/>
          <xsd:enumeration value="საცალო კონტროლის განყოფილება"/>
          <xsd:enumeration value="ტრეინინგების განყოფილება"/>
          <xsd:enumeration value="HR ადმინისტრაციის განყოფილება"/>
          <xsd:enumeration value="სესხების რიქავერის განყოფილება"/>
          <xsd:enumeration value="საკრედიტო რისკების განყოფილება"/>
          <xsd:enumeration value="საკრედიტო კონტროლის განყოფილება"/>
          <xsd:enumeration value="მარკეტინგის განყოფილება"/>
          <xsd:enumeration value="სამდივნო განყოფილება"/>
          <xsd:enumeration value="საბარათე ბიზნესის განყოფილება"/>
          <xsd:enumeration value="საკასო კონტროლის და ინკასაციის ქვეგანყ."/>
          <xsd:enumeration value="აგრო სესხი"/>
          <xsd:enumeration value="თანამშრომლების სესხი"/>
          <xsd:enumeration value="დეპოზიტით უზრუნველყოფილი სესხი"/>
          <xsd:enumeration value="მიკრო სესხი"/>
          <xsd:enumeration value="საშუალო სესხი"/>
          <xsd:enumeration value="მცირე სესხი"/>
          <xsd:enumeration value="ტურისტული სესხი"/>
          <xsd:enumeration value="მცირე და საშუალო სესხი"/>
          <xsd:enumeration value="საერთო საკრედიტო"/>
          <xsd:enumeration value="უფლებები"/>
          <xsd:enumeration value="ხაზინის განყოფილება"/>
          <xsd:enumeration value="საბუღალტრო აღრიცხვის განყოფილება"/>
          <xsd:enumeration value="საკორესპონდენტო ურთიერთობების განყოფილება"/>
          <xsd:enumeration value="ტენდერებისა და ხარჯების კონტროლის განყოფილება"/>
          <xsd:enumeration value="სისტემური ადმინისტრირების განყოფილება"/>
          <xsd:enumeration value="მონაცემთა ბაზების ადმინისტრირების განყ-ბა"/>
          <xsd:enumeration value="მომხმარებელთა მხარდაჭერის განყოფილება"/>
          <xsd:enumeration value="ადმინისტრაციის სამმართველო"/>
          <xsd:enumeration value="რისკების მართვის განყოფილება"/>
          <xsd:enumeration value="საშუალო სესხების შეფასების განყოფილება"/>
          <xsd:enumeration value="მეთოდოლოგიისა და იმპლემენტაციის (ფიზ.პირ) გან-ბა"/>
          <xsd:enumeration value="მეთოდოლოგიისა და იმპლემენტაციის (მცირე ბიზ.) გან-ბა"/>
          <xsd:enumeration value="კომპლაენსის განყოფილება"/>
          <xsd:enumeration value="ფიზიკური პირების განყოფილება"/>
          <xsd:enumeration value="ბიზნეს პროც. ოპტიმიზაციისა და ახალი საბანკო პროგ. დანერგვის გან-ბა"/>
          <xsd:enumeration value="მსს/ანგარიშგების განყოფილება"/>
          <xsd:enumeration value="ორგანიზაციული სტრუქტურა"/>
          <xsd:enumeration value="რეგიონალური ცენტრი"/>
          <xsd:enumeration value="სათავო ოფისის მშენებლობის პროექტი"/>
          <xsd:enumeration value="პროკრედიტ ფროფერთის"/>
          <xsd:enumeration value="უკანონო შემოსავლის ლეგალიზაციის აღკვეთის ქ-ბა"/>
          <xsd:enumeration value="საშუალო კლიენტების განყ-ბა"/>
          <xsd:enumeration value="საინფორმაციო ტექნოლოგიებისა და უსაფრთხოების სამმ."/>
          <xsd:enumeration value="ძალიან მცირე ბიზნეს სესხი"/>
          <xsd:enumeration value="ცენტრალიზებული ბექ ოფისი"/>
          <xsd:enumeration value="კანცელარია/არქივის განყოფილება"/>
          <xsd:enumeration value="ორგანიზაციული სამმართველო"/>
          <xsd:enumeration value="ცენტრალიზებული მეთოდოლოგიის გან–ბა"/>
          <xsd:enumeration value="გაფართოებული მენეჯმენტი"/>
          <xsd:enumeration value="საკასო კონტროლისა და ინკასაციის განყოფილება"/>
          <xsd:enumeration value="ფილიალი/სერვის ცენტრი"/>
          <xsd:enumeration value="ადამიანური რესურსების სამმართველო"/>
          <xsd:enumeration value="კადრების შერჩევის განყოფილება"/>
          <xsd:enumeration value="ნიმუში"/>
          <xsd:enumeration value="დოკუმენტური ოპერაციები"/>
          <xsd:enumeration value="საშუალო ბიზნესების განყოფილება"/>
          <xsd:enumeration value="სტუდენტური სესხი"/>
          <xsd:enumeration value="სამომხმარებლო/საბინაო სესხი"/>
          <xsd:enumeration value="საკრედიტო კომიტეტი"/>
          <xsd:enumeration value="ფინანსური ლიმიტი"/>
          <xsd:enumeration value="საკრედიტო ხაზი"/>
          <xsd:enumeration value="სესხზე შესაძლო დანაკარგების რეზერვი"/>
          <xsd:enumeration value="საკრედიტო რისკების სამმართველო"/>
          <xsd:enumeration value="ფინანსური ანალიზისა და ბიუჯეტირების გან–ბა"/>
          <xsd:enumeration value="ფიზიკური პირების სამმართველო"/>
          <xsd:enumeration value="საკორესპონდენტო ურთიერთობების ქვეგან–ბა"/>
          <xsd:enumeration value="საკრედიტო ბექ ოფისი"/>
          <xsd:enumeration value="არასაკრედიტო ბექ ოფისი"/>
          <xsd:enumeration value="საფინანსო სამმართველო"/>
          <xsd:enumeration value="ბიზნეს კლიენტების სამმართველო"/>
          <xsd:enumeration value="ძალიან მცირე მცირე და აგრო კლიენტების გან–ბა"/>
          <xsd:enumeration value="ადმინისტრაციის განყოფილება"/>
          <xsd:enumeration value="IT და ფიზიკური უსაფრთხოების სამმართველო"/>
          <xsd:enumeration value="მონაცემთა და აპლიკაციების მხარდაჭერის გან–ბა"/>
          <xsd:enumeration value="პროგრამული უზრუნველყოფის განვითარების გან–ბა"/>
          <xsd:enumeration value="ფიზიკური უსაფრთხოების და ინკასაციის გან–ბა"/>
          <xsd:enumeration value="ბიზნეს ოპერაციების კონტროლის გან–ბა"/>
          <xsd:enumeration value="თარჯიმნების ქვეგან–ბა"/>
          <xsd:enumeration value="შიდა მომსახურების სამმართველო"/>
          <xsd:enumeration value="საკრედიტო რისკების შეფასების გან–ბა"/>
          <xsd:enumeration value="ხარჯების კონტროლის განყოფილება"/>
          <xsd:enumeration value="მენეჯმენტი"/>
          <xsd:enumeration value="შიდა ორგანიზაციული ქვეგან–ბა"/>
          <xsd:enumeration value="HR განყოფილება"/>
          <xsd:enumeration value="HR ადმინისტრაციის ქვეგან–ბა"/>
          <xsd:enumeration value="ტრენინგების ქვეგან–ბა"/>
          <xsd:enumeration value="კადრების შერჩევის ქვეგან–ბა"/>
          <xsd:enumeration value="მცირე ბიზნესის საკრედიტო რისკების გან–ბა"/>
          <xsd:enumeration value="ბიზნესის მხარდაჭერის გან–ბა"/>
          <xsd:enumeration value="ცენტრალიზებული მეთოდოლოგიის ქვეგან–ბა"/>
          <xsd:enumeration value="არასაკრედიტო საბანკო სისტ. მხარდაჭერის და განვითარების ქვეგან–ბა"/>
          <xsd:enumeration value="საკრედიტო საბანკო სისტ. მხარდაჭერის და განვითარების ქვეგან–ბა"/>
          <xsd:enumeration value="პლასტიკური ბარათების მხარდაჭერის ქვეგან–ბა"/>
          <xsd:enumeration value="კანცელარია/არქივი"/>
          <xsd:enumeration value="ეკო ქვეგანყოფილება"/>
          <xsd:enumeration value="ფულადი სახსრების მართვის ქვეგან–ბა"/>
          <xsd:enumeration value="საშუალო ბიზნესის საკრედიტო რისკების გან–ბა"/>
          <xsd:enumeration value="სისტემური ადმინისტრირების ქვეგან–ბა"/>
          <xsd:enumeration value="პროგრამული უზრუნველყოფის განვითარების ქვეგან–ბა"/>
          <xsd:enumeration value="მონაცემთა და აპლიკაციების მხარდაჭერის ქვეგან–ბა"/>
          <xsd:enumeration value="IT განყოფილება"/>
          <xsd:enumeration value="51_ხმოვანი შეტყობინება"/>
          <xsd:enumeration value="სისტემური ადმინისტრაცია"/>
          <xsd:enumeration value="პროგრამული უზრუნველყოფის განვითარება"/>
          <xsd:enumeration value="მონაცემთა და აპლიკაციების მხარდაჭერა"/>
          <xsd:enumeration value="საინფორმაციო ტექნოლოგიები"/>
          <xsd:enumeration value="დისტანციური ბანკინგი"/>
          <xsd:enumeration value="ხარჯების კონტროლის ქვეგან–ბა"/>
          <xsd:enumeration value="ბიზნეს კლიენტების განყოფილება"/>
          <xsd:enumeration value="ზოგადი რისკები"/>
          <xsd:enumeration value="კომპლაენსი და AML"/>
          <xsd:enumeration value="ხაზინა და ფულადი სახსრების მართვა"/>
          <xsd:enumeration value="საშუალო ბიზნესის საკრედიტო რისკები"/>
          <xsd:enumeration value="ხარჯების კონტროლი"/>
          <xsd:enumeration value="HR ადმინისტრაცია"/>
          <xsd:enumeration value="პროცესების ორგანიზება"/>
          <xsd:enumeration value="ადმინისტრაცია"/>
          <xsd:enumeration value="შიდა მომსახურების განყოფილება"/>
          <xsd:enumeration value="52_საკრედიტო ბარათი"/>
          <xsd:enumeration value="ფიზიკური პირის სესხი"/>
          <xsd:enumeration value="საოპერაციო მხარდაჭერა"/>
          <xsd:enumeration value="DMS"/>
          <xsd:enumeration value="53_სადეპოზიტო სეიფი (Drop Box)"/>
        </xsd:restriction>
      </xsd:simpleType>
    </xsd:element>
    <xsd:element name="დოკუმენტის_x0020_ტიპი" ma:index="11" nillable="true" ma:displayName="დოკ. ტიპი" ma:format="Dropdown" ma:internalName="_x10d3__x10dd__x10d9__x10e3__x10db__x10d4__x10dc__x10e2__x10d8__x10e1__x0020__x10e2__x10d8__x10de__x10d8_">
      <xsd:simpleType>
        <xsd:restriction base="dms:Choice">
          <xsd:enumeration value="პროცესი"/>
          <xsd:enumeration value="წესი"/>
          <xsd:enumeration value="სტანდარტი"/>
          <xsd:enumeration value="სახელმძღვანელო"/>
          <xsd:enumeration value="დამხმარე დოკუმენტი"/>
          <xsd:enumeration value="დანართი"/>
          <xsd:enumeration value="პოლიტიკა"/>
        </xsd:restriction>
      </xsd:simpleType>
    </xsd:element>
    <xsd:element name="მომხმარებელი" ma:index="12" nillable="true" ma:displayName="მომხმარებელი" ma:default="" ma:internalName="_x10db__x10dd__x10db__x10ee__x10db__x10d0__x10e0__x10d4__x10d1__x10d4__x10da__x10d8_" ma:requiredMultiChoice="true">
      <xsd:complexType>
        <xsd:complexContent>
          <xsd:extension base="dms:MultiChoice">
            <xsd:sequence>
              <xsd:element name="Value" maxOccurs="unbounded" minOccurs="0" nillable="true">
                <xsd:simpleType>
                  <xsd:restriction base="dms:Choice">
                    <xsd:enumeration value="All Emp"/>
                    <xsd:enumeration value="HO Emp"/>
                    <xsd:enumeration value="IT  Emp"/>
                    <xsd:enumeration value="CR Emp/HO"/>
                    <xsd:enumeration value="CR Emp/BR-OUT"/>
                    <xsd:enumeration value="CSD Emp"/>
                    <xsd:enumeration value="AS Emp"/>
                    <xsd:enumeration value="Accountant"/>
                    <xsd:enumeration value="BOD"/>
                    <xsd:enumeration value="CS Emp"/>
                    <xsd:enumeration value="PCD Emp"/>
                    <xsd:enumeration value="BM/OM"/>
                    <xsd:enumeration value="Lawyer"/>
                    <xsd:enumeration value="Ctrl"/>
                    <xsd:enumeration value="PM"/>
                    <xsd:enumeration value="TR"/>
                    <xsd:enumeration value="Other"/>
                  </xsd:restriction>
                </xsd:simpleType>
              </xsd:element>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9" nillable="true" ma:displayName="თარიღი" ma:default="[today]" ma:description="The date on which this resource was last modified" ma:format="DateOnly" ma:internalName="_DCDateModified">
      <xsd:simpleType>
        <xsd:restriction base="dms:DateTime"/>
      </xsd:simpleType>
    </xsd:element>
  </xsd:schema>
  <xsd:schema xmlns:xsd="http://www.w3.org/2001/XMLSchema" xmlns:dms="http://schemas.microsoft.com/office/2006/documentManagement/types" targetNamespace="2ca647ca-e59c-4460-8c4a-a772fcb3acc5" elementFormDefault="qualified">
    <xsd:import namespace="http://schemas.microsoft.com/office/2006/documentManagement/types"/>
    <xsd:element name="_x10d2__x10d0__x10e3__x10e5__x10db__x10d4__x10d1__x10e3__x10da__x10d8__x10d0_" ma:index="15" nillable="true" ma:displayName="გაუქმებულია" ma:format="DateOnly" ma:internalName="_x10d2__x10d0__x10e3__x10e5__x10db__x10d4__x10d1__x10e3__x10da__x10d8__x10d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სათაურ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სექტორი xmlns="93dab917-3b5c-4c57-ba4c-84fa976159d1">საოპერაციო</სექტორი>
    <_DCDateModified xmlns="http://schemas.microsoft.com/sharepoint/v3/fields">2016-04-01T00:00:00Z</_DCDateModified>
    <დოკუმენტის_x0020_ტიპი xmlns="93dab917-3b5c-4c57-ba4c-84fa976159d1">დამხმარე დოკუმენტი</დოკუმენტის_x0020_ტიპი>
    <პროდუქტი xmlns="93dab917-3b5c-4c57-ba4c-84fa976159d1">15_ანაბრები</პროდუქტი>
    <მომხმარებელი xmlns="93dab917-3b5c-4c57-ba4c-84fa976159d1">
      <Value>All Emp</Value>
    </მომხმარებელი>
    <_x10d2__x10d0__x10e3__x10e5__x10db__x10d4__x10d1__x10e3__x10da__x10d8__x10d0_ xmlns="2ca647ca-e59c-4460-8c4a-a772fcb3acc5" xsi:nil="true"/>
  </documentManagement>
</p:properties>
</file>

<file path=customXml/itemProps1.xml><?xml version="1.0" encoding="utf-8"?>
<ds:datastoreItem xmlns:ds="http://schemas.openxmlformats.org/officeDocument/2006/customXml" ds:itemID="{E36FD79F-BFE9-4051-9398-67805AA80C8F}">
  <ds:schemaRefs>
    <ds:schemaRef ds:uri="http://schemas.microsoft.com/office/2006/metadata/longProperties"/>
  </ds:schemaRefs>
</ds:datastoreItem>
</file>

<file path=customXml/itemProps2.xml><?xml version="1.0" encoding="utf-8"?>
<ds:datastoreItem xmlns:ds="http://schemas.openxmlformats.org/officeDocument/2006/customXml" ds:itemID="{BCB0C411-675A-4C2A-B551-90DDD15F36FD}">
  <ds:schemaRefs>
    <ds:schemaRef ds:uri="http://schemas.microsoft.com/sharepoint/v3/contenttype/forms"/>
  </ds:schemaRefs>
</ds:datastoreItem>
</file>

<file path=customXml/itemProps3.xml><?xml version="1.0" encoding="utf-8"?>
<ds:datastoreItem xmlns:ds="http://schemas.openxmlformats.org/officeDocument/2006/customXml" ds:itemID="{4CEBD40C-5415-43DA-B258-EA4F98F63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917-3b5c-4c57-ba4c-84fa976159d1"/>
    <ds:schemaRef ds:uri="http://schemas.microsoft.com/sharepoint/v3/fields"/>
    <ds:schemaRef ds:uri="2ca647ca-e59c-4460-8c4a-a772fcb3ac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6D3074-561A-41B4-BBE9-E5241991A6B4}">
  <ds:schemaRefs>
    <ds:schemaRef ds:uri="http://schemas.openxmlformats.org/officeDocument/2006/bibliography"/>
  </ds:schemaRefs>
</ds:datastoreItem>
</file>

<file path=customXml/itemProps5.xml><?xml version="1.0" encoding="utf-8"?>
<ds:datastoreItem xmlns:ds="http://schemas.openxmlformats.org/officeDocument/2006/customXml" ds:itemID="{2FA4CEB0-CB51-44DF-B955-C80F629D20B1}">
  <ds:schemaRefs>
    <ds:schemaRef ds:uri="http://schemas.microsoft.com/office/2006/metadata/properties"/>
    <ds:schemaRef ds:uri="http://schemas.microsoft.com/office/infopath/2007/PartnerControls"/>
    <ds:schemaRef ds:uri="93dab917-3b5c-4c57-ba4c-84fa976159d1"/>
    <ds:schemaRef ds:uri="http://schemas.microsoft.com/sharepoint/v3/fields"/>
    <ds:schemaRef ds:uri="2ca647ca-e59c-4460-8c4a-a772fcb3acc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AS_SD_1504_შემნახველი ანაბრის ხელშეკრულება</vt:lpstr>
    </vt:vector>
  </TitlesOfParts>
  <Company>DG Win&amp;Soft</Company>
  <LinksUpToDate>false</LinksUpToDate>
  <CharactersWithSpaces>6372</CharactersWithSpaces>
  <SharedDoc>false</SharedDoc>
  <HLinks>
    <vt:vector size="12" baseType="variant">
      <vt:variant>
        <vt:i4>1310730</vt:i4>
      </vt:variant>
      <vt:variant>
        <vt:i4>3</vt:i4>
      </vt:variant>
      <vt:variant>
        <vt:i4>0</vt:i4>
      </vt:variant>
      <vt:variant>
        <vt:i4>5</vt:i4>
      </vt:variant>
      <vt:variant>
        <vt:lpwstr>http://www.procreditbank.ge/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AS_SD_1504_შემნახველი ანაბრის ხელშეკრულება</dc:title>
  <dc:subject/>
  <dc:creator>z.erkomaishvili</dc:creator>
  <cp:keywords/>
  <dc:description/>
  <cp:lastModifiedBy>Tamari Asatiani</cp:lastModifiedBy>
  <cp:revision>7</cp:revision>
  <cp:lastPrinted>2013-07-02T15:35:00Z</cp:lastPrinted>
  <dcterms:created xsi:type="dcterms:W3CDTF">2022-03-07T00:22:00Z</dcterms:created>
  <dcterms:modified xsi:type="dcterms:W3CDTF">2025-12-16T08:05:00Z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15_ანაბრები</vt:lpwstr>
  </property>
  <property fmtid="{D5CDD505-2E9C-101B-9397-08002B2CF9AE}" pid="3" name="?????????? ????">
    <vt:lpwstr>დამხმარე დოკუმენტი</vt:lpwstr>
  </property>
  <property fmtid="{D5CDD505-2E9C-101B-9397-08002B2CF9AE}" pid="4" name="????????????">
    <vt:lpwstr>;#CSD Emp;#AS Emp;#</vt:lpwstr>
  </property>
  <property fmtid="{D5CDD505-2E9C-101B-9397-08002B2CF9AE}" pid="5" name="ContentType">
    <vt:lpwstr>Document</vt:lpwstr>
  </property>
  <property fmtid="{D5CDD505-2E9C-101B-9397-08002B2CF9AE}" pid="6" name="???????">
    <vt:lpwstr>საოპერაციო</vt:lpwstr>
  </property>
  <property fmtid="{D5CDD505-2E9C-101B-9397-08002B2CF9AE}" pid="7" name="Subject">
    <vt:lpwstr/>
  </property>
  <property fmtid="{D5CDD505-2E9C-101B-9397-08002B2CF9AE}" pid="8" name="Keywords">
    <vt:lpwstr/>
  </property>
  <property fmtid="{D5CDD505-2E9C-101B-9397-08002B2CF9AE}" pid="9" name="_Author">
    <vt:lpwstr>z.erkomaishvili</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0x01010094D75437BE359E44AA2156D69B239182</vt:lpwstr>
  </property>
</Properties>
</file>